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Blvd. </w:t>
      </w:r>
      <w:r w:rsidRPr="00B95B74">
        <w:rPr>
          <w:rFonts w:ascii="Arial" w:hAnsi="Arial" w:cs="Arial"/>
        </w:rPr>
        <w:t>Cuitzeo</w:t>
      </w:r>
      <w:r>
        <w:rPr>
          <w:rFonts w:ascii="Arial" w:hAnsi="Arial" w:cs="Arial"/>
        </w:rPr>
        <w:t xml:space="preserve"> de los Naranjos No. 401 Col.  </w:t>
      </w:r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>MIGUEL MÁRQUEZ MÁRQUEZ</w:t>
      </w:r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>stado. d</w:t>
      </w:r>
      <w:r w:rsidRPr="00B95B74">
        <w:rPr>
          <w:rStyle w:val="A0"/>
          <w:rFonts w:ascii="Arial" w:hAnsi="Arial" w:cs="Arial"/>
          <w:bCs/>
        </w:rPr>
        <w:t>e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431B8D">
      <w:headerReference w:type="default" r:id="rId8"/>
      <w:footerReference w:type="default" r:id="rId9"/>
      <w:pgSz w:w="15840" w:h="12240" w:orient="landscape"/>
      <w:pgMar w:top="1134" w:right="1418" w:bottom="1418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3E" w:rsidRDefault="00402B3E" w:rsidP="00C747DB">
      <w:pPr>
        <w:spacing w:after="0" w:line="240" w:lineRule="auto"/>
      </w:pPr>
      <w:r>
        <w:separator/>
      </w:r>
    </w:p>
  </w:endnote>
  <w:endnote w:type="continuationSeparator" w:id="0">
    <w:p w:rsidR="00402B3E" w:rsidRDefault="00402B3E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72527F" w:rsidRPr="0072527F">
      <w:rPr>
        <w:rFonts w:asciiTheme="majorHAnsi" w:hAnsiTheme="majorHAnsi"/>
        <w:noProof/>
        <w:color w:val="2E74B5" w:themeColor="accent1" w:themeShade="BF"/>
        <w:sz w:val="18"/>
        <w:szCs w:val="18"/>
      </w:rPr>
      <w:t>23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3E" w:rsidRDefault="00402B3E" w:rsidP="00C747DB">
      <w:pPr>
        <w:spacing w:after="0" w:line="240" w:lineRule="auto"/>
      </w:pPr>
      <w:r>
        <w:separator/>
      </w:r>
    </w:p>
  </w:footnote>
  <w:footnote w:type="continuationSeparator" w:id="0">
    <w:p w:rsidR="00402B3E" w:rsidRDefault="00402B3E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A3BF6"/>
    <w:rsid w:val="00111B4D"/>
    <w:rsid w:val="001E6A3C"/>
    <w:rsid w:val="00205064"/>
    <w:rsid w:val="002E5B52"/>
    <w:rsid w:val="003F0F8B"/>
    <w:rsid w:val="00402B3E"/>
    <w:rsid w:val="00431B8D"/>
    <w:rsid w:val="004C47C4"/>
    <w:rsid w:val="00531362"/>
    <w:rsid w:val="0068576F"/>
    <w:rsid w:val="00711C1E"/>
    <w:rsid w:val="0072527F"/>
    <w:rsid w:val="00823964"/>
    <w:rsid w:val="00846BFC"/>
    <w:rsid w:val="00982B98"/>
    <w:rsid w:val="009908F8"/>
    <w:rsid w:val="009C3A90"/>
    <w:rsid w:val="00AC6E37"/>
    <w:rsid w:val="00BB2FD0"/>
    <w:rsid w:val="00BC59AF"/>
    <w:rsid w:val="00BD0DFD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6DF4-6023-4558-8E6D-26F93CD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15</cp:revision>
  <cp:lastPrinted>2019-08-21T16:47:00Z</cp:lastPrinted>
  <dcterms:created xsi:type="dcterms:W3CDTF">2016-08-11T21:08:00Z</dcterms:created>
  <dcterms:modified xsi:type="dcterms:W3CDTF">2020-01-22T17:55:00Z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