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DB" w:rsidRPr="00C01D16" w:rsidRDefault="00C747DB" w:rsidP="00C747DB">
      <w:pPr>
        <w:jc w:val="center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NOTAS DE GESTIÓN ADMINISTRATIVA</w:t>
      </w:r>
    </w:p>
    <w:p w:rsidR="00C747DB" w:rsidRPr="00C01D16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01D16">
        <w:rPr>
          <w:rFonts w:ascii="Arial" w:hAnsi="Arial" w:cs="Arial"/>
          <w:b/>
          <w:sz w:val="20"/>
          <w:szCs w:val="20"/>
        </w:rPr>
        <w:t>Introducción :</w:t>
      </w:r>
      <w:proofErr w:type="gramEnd"/>
    </w:p>
    <w:p w:rsidR="00C747DB" w:rsidRPr="00C01D16" w:rsidRDefault="00C747DB" w:rsidP="00C747DB">
      <w:pPr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El Instituto Tecnológico Superior de Abasolo nace bajo decreto de creación como un </w:t>
      </w:r>
      <w:proofErr w:type="gramStart"/>
      <w:r w:rsidRPr="00C01D16">
        <w:rPr>
          <w:rFonts w:ascii="Arial" w:hAnsi="Arial" w:cs="Arial"/>
          <w:sz w:val="20"/>
          <w:szCs w:val="20"/>
        </w:rPr>
        <w:t>Organismo  Público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Descentralizado  de la Administración Pública Paraestatal, con personalidad Jurídica y Patrimonio Propio. Sectorizado a la Secretaria de Educación de Guanajuato.  Se encuentra ubicado en </w:t>
      </w:r>
      <w:proofErr w:type="spellStart"/>
      <w:r w:rsidRPr="00C01D16">
        <w:rPr>
          <w:rFonts w:ascii="Arial" w:hAnsi="Arial" w:cs="Arial"/>
          <w:sz w:val="20"/>
          <w:szCs w:val="20"/>
        </w:rPr>
        <w:t>Blvd</w:t>
      </w:r>
      <w:proofErr w:type="spellEnd"/>
      <w:r w:rsidRPr="00C01D16">
        <w:rPr>
          <w:rFonts w:ascii="Arial" w:hAnsi="Arial" w:cs="Arial"/>
          <w:sz w:val="20"/>
          <w:szCs w:val="20"/>
        </w:rPr>
        <w:t xml:space="preserve">. Cuitzeo de los Naranjos No. 401 Col.  Cuitzeo de los Naranjos, Abasolo, Guanajuato. Su actividad es educativa y su principal objetivo es ofrecer educación tecnológica de calidad, con planes de estudios pertinentes y orientados a la mejora continua para coadyuvar </w:t>
      </w:r>
      <w:proofErr w:type="gramStart"/>
      <w:r w:rsidRPr="00C01D16">
        <w:rPr>
          <w:rFonts w:ascii="Arial" w:hAnsi="Arial" w:cs="Arial"/>
          <w:sz w:val="20"/>
          <w:szCs w:val="20"/>
        </w:rPr>
        <w:t>al  progreso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de la sociedad. Actualmente ofrece las carreras de Ingeniería  Industrial, Ingeniería en Industrias Alimentarias, Ingeniería en Innovación Agrícola Sustentable, Ingeniería en Sistemas Automotrices, Ingeniería Ambiental, Ingeniería en Gestión Empresarial e Ingeniería en Energías Renovables.</w:t>
      </w:r>
    </w:p>
    <w:p w:rsidR="00C747DB" w:rsidRPr="00C01D16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Panorama Económico y Financiero :</w:t>
      </w:r>
    </w:p>
    <w:p w:rsidR="00C747DB" w:rsidRPr="00C01D16" w:rsidRDefault="00C747DB" w:rsidP="00C747DB">
      <w:pPr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Esta respuesta se da en el tomo de Cuenta Pública que entrega el poder ejecutivo.</w:t>
      </w:r>
    </w:p>
    <w:p w:rsidR="00C747DB" w:rsidRPr="00C01D16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Autorización e historia:</w:t>
      </w:r>
    </w:p>
    <w:p w:rsidR="00C747DB" w:rsidRPr="00C01D16" w:rsidRDefault="00C747DB" w:rsidP="00C747D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Fecha de creación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El Instituto Tecnológico Superior de Abasolo nace bajo decreto Gubernativo No. 91 emitido por el Gobernador  </w:t>
      </w:r>
      <w:r w:rsidRPr="00C01D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Pr="00C01D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Pr="00C01D16">
        <w:rPr>
          <w:rStyle w:val="A0"/>
          <w:rFonts w:ascii="Arial" w:hAnsi="Arial" w:cs="Arial"/>
          <w:b/>
          <w:bCs/>
          <w:sz w:val="20"/>
          <w:szCs w:val="20"/>
        </w:rPr>
        <w:t xml:space="preserve">, </w:t>
      </w:r>
      <w:r w:rsidRPr="00C01D16">
        <w:rPr>
          <w:rStyle w:val="A0"/>
          <w:rFonts w:ascii="Arial" w:hAnsi="Arial" w:cs="Arial"/>
          <w:bCs/>
          <w:sz w:val="20"/>
          <w:szCs w:val="20"/>
        </w:rPr>
        <w:t>Gobernador Constitucional del Estado Libre y Soberano de Guanajuato, publicado en el periódico oficial del Estado. de Guanajuato el</w:t>
      </w:r>
      <w:r w:rsidRPr="00C01D16">
        <w:rPr>
          <w:rFonts w:ascii="Arial" w:hAnsi="Arial" w:cs="Arial"/>
          <w:sz w:val="20"/>
          <w:szCs w:val="20"/>
        </w:rPr>
        <w:t xml:space="preserve"> 19 de noviembre de 2014.</w:t>
      </w:r>
    </w:p>
    <w:p w:rsidR="00C747DB" w:rsidRPr="00C01D16" w:rsidRDefault="00C747DB" w:rsidP="00C747DB">
      <w:pPr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Organización y Objeto Social</w:t>
      </w:r>
    </w:p>
    <w:p w:rsidR="00C747DB" w:rsidRPr="00C01D16" w:rsidRDefault="00C747DB" w:rsidP="00C747D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Objeto Social:</w:t>
      </w:r>
    </w:p>
    <w:p w:rsidR="00C747DB" w:rsidRPr="00C01D16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ab/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La Ley de Educación para el Estado de Guanajuato establece en su artículo 2, que la educación es el medio fundamental para adquirir, transmitir y acrecentar la cultura, primordialmente a través de la formación cívica y ética. </w:t>
      </w:r>
      <w:proofErr w:type="gramStart"/>
      <w:r w:rsidRPr="00C01D16">
        <w:rPr>
          <w:rFonts w:ascii="Arial" w:hAnsi="Arial" w:cs="Arial"/>
          <w:sz w:val="20"/>
          <w:szCs w:val="20"/>
        </w:rPr>
        <w:t>Señala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01D16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20"/>
          <w:szCs w:val="20"/>
        </w:rPr>
      </w:pPr>
    </w:p>
    <w:p w:rsidR="00C747DB" w:rsidRDefault="00C747DB" w:rsidP="00C747DB">
      <w:pPr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El Estado, debe promover a través de sus organismos públicos descentralizados la educación superior, a fin de apoyar la investigación científica y tecnológica, así como alentar al fortalecimiento y la difusión de la cultura nacional y universal.</w:t>
      </w:r>
    </w:p>
    <w:p w:rsidR="0079743A" w:rsidRPr="00C01D16" w:rsidRDefault="0079743A" w:rsidP="00C747DB">
      <w:pPr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lastRenderedPageBreak/>
        <w:t>Actividad principal.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Escuela de Educación Superior perteneciente al sector público.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01D16" w:rsidRPr="00C01D16" w:rsidRDefault="00C01D16" w:rsidP="00C747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Ejercicio Fiscal  </w:t>
      </w:r>
    </w:p>
    <w:p w:rsidR="00C747DB" w:rsidRPr="00C01D16" w:rsidRDefault="00204CB2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Enero - diciembre 202</w:t>
      </w:r>
      <w:r w:rsidR="00C01D16" w:rsidRPr="00C01D16">
        <w:rPr>
          <w:rFonts w:ascii="Arial" w:hAnsi="Arial" w:cs="Arial"/>
          <w:sz w:val="20"/>
          <w:szCs w:val="20"/>
        </w:rPr>
        <w:t>2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Régimen jurídico</w:t>
      </w:r>
    </w:p>
    <w:p w:rsidR="00C747DB" w:rsidRPr="00C01D16" w:rsidRDefault="00C747DB" w:rsidP="00C01D16">
      <w:pPr>
        <w:pStyle w:val="Prrafodelist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Persona moral con fines no lucrativos</w:t>
      </w:r>
    </w:p>
    <w:p w:rsidR="00C747DB" w:rsidRPr="00C01D16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Condiciones fiscales</w:t>
      </w:r>
    </w:p>
    <w:p w:rsidR="00C747DB" w:rsidRPr="00C01D16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C01D16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Estructura organizacional básica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(Se encuentra en revisión)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Fideicomisos, mandatos y análogos de los cuales es fideicomitente o fiduciario.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ITESA no cuenta con ningún fideicomiso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Bases de preparación de los Estados Financieros:</w:t>
      </w:r>
    </w:p>
    <w:p w:rsidR="00C747DB" w:rsidRPr="00C01D16" w:rsidRDefault="00C747DB" w:rsidP="00C747DB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Se observa la normatividad emitida por el CONAC y las disposiciones legales aplicables.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Las bases de preparación de los estados financieros observan la normatividad emitida por el CONAC y las disposiciones legales aplicables. 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Es importante mencionar que el </w:t>
      </w:r>
      <w:proofErr w:type="gramStart"/>
      <w:r w:rsidRPr="00C01D16">
        <w:rPr>
          <w:rFonts w:ascii="Arial" w:hAnsi="Arial" w:cs="Arial"/>
          <w:sz w:val="20"/>
          <w:szCs w:val="20"/>
        </w:rPr>
        <w:t>ITESA  a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 w:rsidRPr="00C01D16">
        <w:rPr>
          <w:rFonts w:ascii="Arial" w:hAnsi="Arial" w:cs="Arial"/>
          <w:sz w:val="20"/>
          <w:szCs w:val="20"/>
        </w:rPr>
        <w:t xml:space="preserve">. Y es en este ejercicio </w:t>
      </w:r>
      <w:proofErr w:type="gramStart"/>
      <w:r w:rsidR="00711C1E" w:rsidRPr="00C01D16">
        <w:rPr>
          <w:rFonts w:ascii="Arial" w:hAnsi="Arial" w:cs="Arial"/>
          <w:sz w:val="20"/>
          <w:szCs w:val="20"/>
        </w:rPr>
        <w:t>20</w:t>
      </w:r>
      <w:r w:rsidRPr="00C01D16">
        <w:rPr>
          <w:rFonts w:ascii="Arial" w:hAnsi="Arial" w:cs="Arial"/>
          <w:sz w:val="20"/>
          <w:szCs w:val="20"/>
        </w:rPr>
        <w:t>15  que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el ITESA se alinea también a los instrumentos definidos por el Poder Ejecutivo del Estado para cumplir con las normas establecidas por el CONAC.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La normatividad aplicada para el reconocimiento, valuación y revelación de los diferentes rubros de la información financieras así como las bases de </w:t>
      </w:r>
      <w:proofErr w:type="gramStart"/>
      <w:r w:rsidRPr="00C01D16">
        <w:rPr>
          <w:rFonts w:ascii="Arial" w:hAnsi="Arial" w:cs="Arial"/>
          <w:b/>
          <w:sz w:val="20"/>
          <w:szCs w:val="20"/>
        </w:rPr>
        <w:t>medición  utilizadas</w:t>
      </w:r>
      <w:proofErr w:type="gramEnd"/>
      <w:r w:rsidRPr="00C01D16">
        <w:rPr>
          <w:rFonts w:ascii="Arial" w:hAnsi="Arial" w:cs="Arial"/>
          <w:b/>
          <w:sz w:val="20"/>
          <w:szCs w:val="20"/>
        </w:rPr>
        <w:t xml:space="preserve"> para la elaboración de los estados financieros; por ejemplo: costo histórico, valor de realización valor  razonable valor de recuperación o cualquier otro método empleado y los criterios de aplicación de los mismos</w:t>
      </w:r>
    </w:p>
    <w:p w:rsidR="00C747DB" w:rsidRPr="00C01D16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01D16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Las bases de preparación de los estados financieros observan la normatividad aplicada para el reconocimiento, valuación y revelación de los diferentes rubros de la información financiera, así como las bases de </w:t>
      </w:r>
      <w:proofErr w:type="gramStart"/>
      <w:r w:rsidRPr="00C01D16">
        <w:rPr>
          <w:rFonts w:ascii="Arial" w:hAnsi="Arial" w:cs="Arial"/>
          <w:sz w:val="20"/>
          <w:szCs w:val="20"/>
        </w:rPr>
        <w:t>medición  utilizadas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para la elaboración de los estados financieros; por ejemplo: costo histórico, valor de realización valor  razonable valor de recuperación o cualquier otro método empleado y los criterios de aplicación de los mismo.</w:t>
      </w:r>
      <w:r w:rsidR="0079743A">
        <w:rPr>
          <w:rFonts w:ascii="Arial" w:hAnsi="Arial" w:cs="Arial"/>
          <w:sz w:val="20"/>
          <w:szCs w:val="20"/>
        </w:rPr>
        <w:t>+107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Postulados básicos 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Las bases de preparación de los Estados Financieros aplican los postulados básicos de registros contables.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Normatividad supletoria En caso de emplear varios grupos de normatividades (normatividades supletorias), deberá realizar la justificación razonable correspondiente, su alineación con los PVCG y a las características cualitativas asociadas descritas en el MCCG (documentos publicados en el Diario Oficial de la Federación, agosto 2009).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Para efectos de la elaboración de información financiera la normatividad que se emplea es la emitida por el CONAC y la normatividad que emite el Poder Ejecutivo, del Estado misma que esa alineada a las normas de CONAC.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Para las entidades que por primera vez estén </w:t>
      </w:r>
      <w:proofErr w:type="gramStart"/>
      <w:r w:rsidRPr="00C01D16">
        <w:rPr>
          <w:rFonts w:ascii="Arial" w:hAnsi="Arial" w:cs="Arial"/>
          <w:b/>
          <w:sz w:val="20"/>
          <w:szCs w:val="20"/>
        </w:rPr>
        <w:t>implementando  la</w:t>
      </w:r>
      <w:proofErr w:type="gramEnd"/>
      <w:r w:rsidRPr="00C01D16">
        <w:rPr>
          <w:rFonts w:ascii="Arial" w:hAnsi="Arial" w:cs="Arial"/>
          <w:b/>
          <w:sz w:val="20"/>
          <w:szCs w:val="20"/>
        </w:rPr>
        <w:t xml:space="preserve"> base devengado de acuerdo a la Ley de Contabilidad, deberán: </w:t>
      </w:r>
    </w:p>
    <w:p w:rsidR="00C747DB" w:rsidRPr="00C01D16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Revelar las nuevas políticas de reconocimiento:</w:t>
      </w:r>
    </w:p>
    <w:p w:rsidR="00C747DB" w:rsidRPr="00C01D16" w:rsidRDefault="00C747DB" w:rsidP="00C747D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El devengado en el egreso y el ingreso se implementó a partir del ejercicio del 2015 año de incorporación del ITESA</w:t>
      </w:r>
    </w:p>
    <w:p w:rsidR="00C747DB" w:rsidRPr="00C01D16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Plan de </w:t>
      </w:r>
      <w:proofErr w:type="gramStart"/>
      <w:r w:rsidRPr="00C01D16">
        <w:rPr>
          <w:rFonts w:ascii="Arial" w:hAnsi="Arial" w:cs="Arial"/>
          <w:sz w:val="20"/>
          <w:szCs w:val="20"/>
        </w:rPr>
        <w:t>implementación :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</w:t>
      </w:r>
    </w:p>
    <w:p w:rsidR="00C747DB" w:rsidRPr="00C01D16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ab/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:rsidR="00C747DB" w:rsidRPr="00C01D16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Revelar los cambios en las políticas, clasificación y medición de las mismas, así como su impacto en la información financiera: </w:t>
      </w:r>
    </w:p>
    <w:p w:rsidR="00C747DB" w:rsidRPr="00C01D16" w:rsidRDefault="00C747DB" w:rsidP="00C747D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Políticas de Contabilidad Significativas: </w:t>
      </w:r>
    </w:p>
    <w:p w:rsidR="00C747DB" w:rsidRPr="00C01D16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20"/>
          <w:szCs w:val="20"/>
        </w:rPr>
      </w:pP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Se informará sobre:</w:t>
      </w:r>
    </w:p>
    <w:p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Actualización.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Informar sobre las operaciones en el extranjero y de sus efectos en la información financiera gubernamental: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El ITESA no realiza operaciones en el extranjero.</w:t>
      </w:r>
    </w:p>
    <w:p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Método de valuación de la inversión en acciones de Compañías subsidiarias no consolidadas y asociadas: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Sistema y Método de Evaluación de Inventarios y Costo de lo Vendido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El ITESA no cuenta con una reserva actuarial para beneficios a empleados</w:t>
      </w:r>
    </w:p>
    <w:p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Provisiones: Objetivo de su creación, monto y plazo: 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Las provisiones que se registran son a fin de mes y es en lo referente al pago de cuotas IMSS e Impuesto sobre nómina</w:t>
      </w:r>
    </w:p>
    <w:p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Reservas: Objeto de su creación monto y plazo: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El ITESA no cuenta con fondos de contingencia </w:t>
      </w:r>
    </w:p>
    <w:p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Reclasificaciones: se deben revelar todos aquellos movimientos entre cuentas por efectos de cambio en los tipos de operaciones.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Depuración y cancelación de saldos 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Posición en moneda extranjera y posición por riesgo cambiario:</w:t>
      </w:r>
    </w:p>
    <w:p w:rsidR="00C747DB" w:rsidRPr="00C01D16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20"/>
          <w:szCs w:val="20"/>
        </w:rPr>
      </w:pP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C01D16">
        <w:rPr>
          <w:rFonts w:ascii="Arial" w:hAnsi="Arial" w:cs="Arial"/>
          <w:sz w:val="20"/>
          <w:szCs w:val="20"/>
        </w:rPr>
        <w:t>informara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sobre: </w:t>
      </w:r>
    </w:p>
    <w:p w:rsidR="00C747DB" w:rsidRPr="00C01D1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Activos en moneda extranjera: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El ITESA no tiene activos registrados en moneda extranjera</w:t>
      </w:r>
    </w:p>
    <w:p w:rsidR="00C747DB" w:rsidRPr="00C01D1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Pasivos en moneda extranjera: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El ITESA no tiene activos registrados en moneda extranjera</w:t>
      </w:r>
    </w:p>
    <w:p w:rsidR="00C747DB" w:rsidRPr="00C01D1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Posición en moneda extranjera: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Tipo de cambio en moneda extranjera: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Equivalente en moneda nacional 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Reporte analítico del activo: </w:t>
      </w:r>
    </w:p>
    <w:p w:rsidR="00C747DB" w:rsidRPr="00C01D16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20"/>
          <w:szCs w:val="20"/>
        </w:rPr>
      </w:pP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Debe mostrar la siguiente información:</w:t>
      </w:r>
    </w:p>
    <w:p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Vida útil o % de depreciación, deterioro o amortización utilizados en los diferentes tipos de activos: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Cambios en el % de depreciación o valor residual de los activos: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Importe de los gastos capitalizados en el ejercicio, tanto financieros como de investigación y desarrollo: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Riesgo por tipo de cambio o tipo de interés en las inversiones financieras 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01D16" w:rsidRPr="00C01D16" w:rsidRDefault="00C01D16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Valor activado en el ejercicio de los bienes construidos por la entidad 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Otras circunstancias de carácter significativo que afecten el activo, teles como bienes en garantía, señalados en embargos litigios, títulos de inversiones entregadas en garantía, baja significativa del valor de inversiones </w:t>
      </w:r>
      <w:proofErr w:type="gramStart"/>
      <w:r w:rsidRPr="00C01D16">
        <w:rPr>
          <w:rFonts w:ascii="Arial" w:hAnsi="Arial" w:cs="Arial"/>
          <w:b/>
          <w:sz w:val="20"/>
          <w:szCs w:val="20"/>
        </w:rPr>
        <w:t>financieras,:</w:t>
      </w:r>
      <w:proofErr w:type="gramEnd"/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Desmantelamiento de activos, procedimientos, implicaciones, efectos contables: 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Administración de activos; planeación con el objetivo de que el ente los utilice de manera más efectiva: 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ITESA no cuenta con planeación para el aprovechamiento y mejor uso de </w:t>
      </w:r>
      <w:proofErr w:type="gramStart"/>
      <w:r w:rsidRPr="00C01D16">
        <w:rPr>
          <w:rFonts w:ascii="Arial" w:hAnsi="Arial" w:cs="Arial"/>
          <w:sz w:val="20"/>
          <w:szCs w:val="20"/>
        </w:rPr>
        <w:t>los  activos</w:t>
      </w:r>
      <w:proofErr w:type="gramEnd"/>
      <w:r w:rsidRPr="00C01D16">
        <w:rPr>
          <w:rFonts w:ascii="Arial" w:hAnsi="Arial" w:cs="Arial"/>
          <w:sz w:val="20"/>
          <w:szCs w:val="20"/>
        </w:rPr>
        <w:t>.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Adicionalmente, se deben incluir las explicaciones de las principales variaciones en el activo en cuadros comparativos como sigue:</w:t>
      </w:r>
    </w:p>
    <w:p w:rsidR="00C747DB" w:rsidRPr="00C01D16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Inversiones en valores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Patrimonio de Organismos Descentralizados de Control Presupuestario Indirecto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Inversiones en empresas de participación mayoritaria: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Inversiones en empresas de participación minoritaria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Patrimonio de organismos descentralizados de control presupuestario directo, según corresponda: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Fideicomisos, Mandatos y Análogos</w:t>
      </w:r>
    </w:p>
    <w:p w:rsidR="00C747DB" w:rsidRPr="00C01D16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Por el ramo administrativo que los reporta: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35F9" w:rsidRDefault="00A335F9" w:rsidP="00BC6649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747DB" w:rsidRPr="00C01D16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Enlistar los de mayor monto de disponibilidad, relacionando aquellos que conforman el 80% de las disponibilidades: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 xml:space="preserve">Reporte de recaudación: </w:t>
      </w:r>
    </w:p>
    <w:p w:rsidR="00C747DB" w:rsidRPr="00C01D16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Análisis de comportamiento de la recaudación correspondiente al ente público o cualquier tipo de ingreso, de forma separada los ingresos locales de los federales:</w:t>
      </w:r>
    </w:p>
    <w:p w:rsidR="00C747DB" w:rsidRPr="00C01D16" w:rsidRDefault="00C747DB" w:rsidP="00C747DB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Información sobre la deuda y el reporte Analítico de la Deuda: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ITESA no tiene deuda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47FED" w:rsidRPr="00C01D16" w:rsidRDefault="00047FED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Calificaciones otorgadas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aplica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Proceso de mejora: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C01D16">
        <w:rPr>
          <w:rFonts w:ascii="Arial" w:hAnsi="Arial" w:cs="Arial"/>
          <w:sz w:val="20"/>
          <w:szCs w:val="20"/>
        </w:rPr>
        <w:t>informara</w:t>
      </w:r>
      <w:proofErr w:type="gramEnd"/>
      <w:r w:rsidRPr="00C01D16">
        <w:rPr>
          <w:rFonts w:ascii="Arial" w:hAnsi="Arial" w:cs="Arial"/>
          <w:sz w:val="20"/>
          <w:szCs w:val="20"/>
        </w:rPr>
        <w:t xml:space="preserve"> de:</w:t>
      </w:r>
    </w:p>
    <w:p w:rsidR="00C747DB" w:rsidRPr="00C01D16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Políticas de control interno</w:t>
      </w:r>
    </w:p>
    <w:p w:rsidR="00C747DB" w:rsidRPr="00C01D16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D16">
        <w:rPr>
          <w:rFonts w:ascii="Arial" w:hAnsi="Arial" w:cs="Arial"/>
          <w:b/>
          <w:sz w:val="20"/>
          <w:szCs w:val="20"/>
        </w:rPr>
        <w:t>Medidas de desempeño metas y alcance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No se cuenta con medidas de desempeño financiero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1D16" w:rsidRPr="00C01D16" w:rsidRDefault="00C01D16" w:rsidP="00C747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D16">
        <w:rPr>
          <w:rFonts w:ascii="Arial" w:hAnsi="Arial" w:cs="Arial"/>
          <w:sz w:val="20"/>
          <w:szCs w:val="20"/>
        </w:rPr>
        <w:t xml:space="preserve">   __________________________________                           ________</w:t>
      </w:r>
      <w:r w:rsidR="00C01D16">
        <w:rPr>
          <w:rFonts w:ascii="Arial" w:hAnsi="Arial" w:cs="Arial"/>
          <w:sz w:val="20"/>
          <w:szCs w:val="20"/>
        </w:rPr>
        <w:t>_________</w:t>
      </w:r>
      <w:r w:rsidRPr="00C01D16">
        <w:rPr>
          <w:rFonts w:ascii="Arial" w:hAnsi="Arial" w:cs="Arial"/>
          <w:sz w:val="20"/>
          <w:szCs w:val="20"/>
        </w:rPr>
        <w:t>____</w:t>
      </w:r>
      <w:r w:rsidR="00C01D16">
        <w:rPr>
          <w:rFonts w:ascii="Arial" w:hAnsi="Arial" w:cs="Arial"/>
          <w:sz w:val="20"/>
          <w:szCs w:val="20"/>
        </w:rPr>
        <w:t>_______________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01D16">
        <w:rPr>
          <w:rFonts w:ascii="Arial" w:hAnsi="Arial" w:cs="Arial"/>
          <w:sz w:val="18"/>
          <w:szCs w:val="18"/>
        </w:rPr>
        <w:t xml:space="preserve"> </w:t>
      </w:r>
      <w:r w:rsidR="00BD0DFD" w:rsidRPr="00C01D16">
        <w:rPr>
          <w:rFonts w:ascii="Arial" w:hAnsi="Arial" w:cs="Arial"/>
          <w:sz w:val="18"/>
          <w:szCs w:val="18"/>
        </w:rPr>
        <w:t xml:space="preserve">      </w:t>
      </w:r>
      <w:r w:rsidR="00C01D16">
        <w:rPr>
          <w:rFonts w:ascii="Arial" w:hAnsi="Arial" w:cs="Arial"/>
          <w:sz w:val="18"/>
          <w:szCs w:val="18"/>
        </w:rPr>
        <w:t xml:space="preserve">     </w:t>
      </w:r>
      <w:r w:rsidR="00BD0DFD" w:rsidRPr="00C01D16">
        <w:rPr>
          <w:rFonts w:ascii="Arial" w:hAnsi="Arial" w:cs="Arial"/>
          <w:sz w:val="18"/>
          <w:szCs w:val="18"/>
        </w:rPr>
        <w:t>ALFONSO DELGADO MARTÍ</w:t>
      </w:r>
      <w:r w:rsidRPr="00C01D16">
        <w:rPr>
          <w:rFonts w:ascii="Arial" w:hAnsi="Arial" w:cs="Arial"/>
          <w:sz w:val="18"/>
          <w:szCs w:val="18"/>
        </w:rPr>
        <w:t xml:space="preserve">NEZ                                    </w:t>
      </w:r>
      <w:r w:rsidR="00BD0DFD" w:rsidRPr="00C01D16">
        <w:rPr>
          <w:rFonts w:ascii="Arial" w:hAnsi="Arial" w:cs="Arial"/>
          <w:sz w:val="18"/>
          <w:szCs w:val="18"/>
        </w:rPr>
        <w:t xml:space="preserve">             J. GUADALUPE MÁRQUEZ GONZÁ</w:t>
      </w:r>
      <w:r w:rsidRPr="00C01D16">
        <w:rPr>
          <w:rFonts w:ascii="Arial" w:hAnsi="Arial" w:cs="Arial"/>
          <w:sz w:val="18"/>
          <w:szCs w:val="18"/>
        </w:rPr>
        <w:t>LEZ</w:t>
      </w:r>
    </w:p>
    <w:p w:rsidR="00C747DB" w:rsidRPr="00C01D16" w:rsidRDefault="00C747DB" w:rsidP="00C747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01D16">
        <w:rPr>
          <w:rFonts w:ascii="Arial" w:hAnsi="Arial" w:cs="Arial"/>
          <w:sz w:val="18"/>
          <w:szCs w:val="18"/>
        </w:rPr>
        <w:t xml:space="preserve">     </w:t>
      </w:r>
      <w:r w:rsidR="00BD0DFD" w:rsidRPr="00C01D16">
        <w:rPr>
          <w:rFonts w:ascii="Arial" w:hAnsi="Arial" w:cs="Arial"/>
          <w:sz w:val="18"/>
          <w:szCs w:val="18"/>
        </w:rPr>
        <w:t xml:space="preserve">               </w:t>
      </w:r>
      <w:r w:rsidR="00C01D16">
        <w:rPr>
          <w:rFonts w:ascii="Arial" w:hAnsi="Arial" w:cs="Arial"/>
          <w:sz w:val="18"/>
          <w:szCs w:val="18"/>
        </w:rPr>
        <w:t xml:space="preserve"> </w:t>
      </w:r>
      <w:r w:rsidR="00BD0DFD" w:rsidRPr="00C01D16">
        <w:rPr>
          <w:rFonts w:ascii="Arial" w:hAnsi="Arial" w:cs="Arial"/>
          <w:sz w:val="18"/>
          <w:szCs w:val="18"/>
        </w:rPr>
        <w:t>DIRECCIÓ</w:t>
      </w:r>
      <w:r w:rsidRPr="00C01D16">
        <w:rPr>
          <w:rFonts w:ascii="Arial" w:hAnsi="Arial" w:cs="Arial"/>
          <w:sz w:val="18"/>
          <w:szCs w:val="18"/>
        </w:rPr>
        <w:t xml:space="preserve">N GENERAL                                             </w:t>
      </w:r>
      <w:r w:rsidR="00BD0DFD" w:rsidRPr="00C01D16">
        <w:rPr>
          <w:rFonts w:ascii="Arial" w:hAnsi="Arial" w:cs="Arial"/>
          <w:sz w:val="18"/>
          <w:szCs w:val="18"/>
        </w:rPr>
        <w:t xml:space="preserve">     </w:t>
      </w:r>
      <w:r w:rsidR="00F923E2" w:rsidRPr="00C01D16">
        <w:rPr>
          <w:rFonts w:ascii="Arial" w:hAnsi="Arial" w:cs="Arial"/>
          <w:sz w:val="18"/>
          <w:szCs w:val="18"/>
        </w:rPr>
        <w:t>SUB</w:t>
      </w:r>
      <w:r w:rsidRPr="00C01D16">
        <w:rPr>
          <w:rFonts w:ascii="Arial" w:hAnsi="Arial" w:cs="Arial"/>
          <w:sz w:val="18"/>
          <w:szCs w:val="18"/>
        </w:rPr>
        <w:t>DIREC</w:t>
      </w:r>
      <w:r w:rsidR="00BD0DFD" w:rsidRPr="00C01D16">
        <w:rPr>
          <w:rFonts w:ascii="Arial" w:hAnsi="Arial" w:cs="Arial"/>
          <w:sz w:val="18"/>
          <w:szCs w:val="18"/>
        </w:rPr>
        <w:t>CIÓN DE</w:t>
      </w:r>
      <w:r w:rsidRPr="00C01D16">
        <w:rPr>
          <w:rFonts w:ascii="Arial" w:hAnsi="Arial" w:cs="Arial"/>
          <w:sz w:val="18"/>
          <w:szCs w:val="18"/>
        </w:rPr>
        <w:t xml:space="preserve"> ADMINISTRA</w:t>
      </w:r>
      <w:r w:rsidR="00BD0DFD" w:rsidRPr="00C01D16">
        <w:rPr>
          <w:rFonts w:ascii="Arial" w:hAnsi="Arial" w:cs="Arial"/>
          <w:sz w:val="18"/>
          <w:szCs w:val="18"/>
        </w:rPr>
        <w:t>CIÓN Y FINANZAS</w:t>
      </w:r>
    </w:p>
    <w:p w:rsidR="00846BFC" w:rsidRPr="00C01D16" w:rsidRDefault="00846BFC">
      <w:pPr>
        <w:rPr>
          <w:sz w:val="20"/>
          <w:szCs w:val="20"/>
        </w:rPr>
      </w:pPr>
    </w:p>
    <w:sectPr w:rsidR="00846BFC" w:rsidRPr="00C01D16" w:rsidSect="0079743A">
      <w:headerReference w:type="default" r:id="rId8"/>
      <w:footerReference w:type="default" r:id="rId9"/>
      <w:pgSz w:w="15840" w:h="12240" w:orient="landscape"/>
      <w:pgMar w:top="1418" w:right="1418" w:bottom="1134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6B6" w:rsidRDefault="006566B6" w:rsidP="00C747DB">
      <w:pPr>
        <w:spacing w:after="0" w:line="240" w:lineRule="auto"/>
      </w:pPr>
      <w:r>
        <w:separator/>
      </w:r>
    </w:p>
  </w:endnote>
  <w:endnote w:type="continuationSeparator" w:id="0">
    <w:p w:rsidR="006566B6" w:rsidRDefault="006566B6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="000823E2">
      <w:rPr>
        <w:rFonts w:asciiTheme="majorHAnsi" w:hAnsiTheme="majorHAnsi"/>
        <w:color w:val="2E74B5" w:themeColor="accent1" w:themeShade="BF"/>
      </w:rPr>
      <w:t xml:space="preserve"> 2DO TRIMESTRE 2022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6B6" w:rsidRDefault="006566B6" w:rsidP="00C747DB">
      <w:pPr>
        <w:spacing w:after="0" w:line="240" w:lineRule="auto"/>
      </w:pPr>
      <w:r>
        <w:separator/>
      </w:r>
    </w:p>
  </w:footnote>
  <w:footnote w:type="continuationSeparator" w:id="0">
    <w:p w:rsidR="006566B6" w:rsidRDefault="006566B6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DB"/>
    <w:rsid w:val="00002472"/>
    <w:rsid w:val="00047FED"/>
    <w:rsid w:val="000823E2"/>
    <w:rsid w:val="0009600C"/>
    <w:rsid w:val="00096222"/>
    <w:rsid w:val="000A3BF6"/>
    <w:rsid w:val="000B7550"/>
    <w:rsid w:val="00111B4D"/>
    <w:rsid w:val="001E6A3C"/>
    <w:rsid w:val="00204CB2"/>
    <w:rsid w:val="00205064"/>
    <w:rsid w:val="002E5B52"/>
    <w:rsid w:val="003F0F8B"/>
    <w:rsid w:val="00402B3E"/>
    <w:rsid w:val="00431B8D"/>
    <w:rsid w:val="004C47C4"/>
    <w:rsid w:val="00531362"/>
    <w:rsid w:val="00560D80"/>
    <w:rsid w:val="006566B6"/>
    <w:rsid w:val="00682A1D"/>
    <w:rsid w:val="0068576F"/>
    <w:rsid w:val="00711C1E"/>
    <w:rsid w:val="0079743A"/>
    <w:rsid w:val="00823964"/>
    <w:rsid w:val="00846BFC"/>
    <w:rsid w:val="00896BA8"/>
    <w:rsid w:val="0097413D"/>
    <w:rsid w:val="00982B98"/>
    <w:rsid w:val="009908F8"/>
    <w:rsid w:val="009C3A90"/>
    <w:rsid w:val="00A335F9"/>
    <w:rsid w:val="00A709F4"/>
    <w:rsid w:val="00AC358F"/>
    <w:rsid w:val="00AC6E37"/>
    <w:rsid w:val="00BB2FD0"/>
    <w:rsid w:val="00BC59AF"/>
    <w:rsid w:val="00BC6649"/>
    <w:rsid w:val="00BD0DFD"/>
    <w:rsid w:val="00C01D16"/>
    <w:rsid w:val="00C747DB"/>
    <w:rsid w:val="00D81E63"/>
    <w:rsid w:val="00EE28C0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66A70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DE1E-4118-456F-9F17-7E8D1446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1657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MARGARITA</cp:lastModifiedBy>
  <cp:revision>28</cp:revision>
  <cp:lastPrinted>2022-07-14T18:58:00Z</cp:lastPrinted>
  <dcterms:created xsi:type="dcterms:W3CDTF">2016-08-11T21:08:00Z</dcterms:created>
  <dcterms:modified xsi:type="dcterms:W3CDTF">2022-07-14T18:58:00Z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