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F6EA" w14:textId="087D5B32" w:rsidR="00E44CC7" w:rsidRPr="00E44CC7" w:rsidRDefault="00E44CC7" w:rsidP="00E44CC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Autorización e Historia</w:t>
      </w:r>
      <w:r w:rsidR="00750E10" w:rsidRPr="00E71B93">
        <w:rPr>
          <w:rFonts w:ascii="Arial" w:hAnsi="Arial" w:cs="Arial"/>
          <w:b/>
          <w:sz w:val="18"/>
          <w:szCs w:val="18"/>
        </w:rPr>
        <w:t>:</w:t>
      </w:r>
    </w:p>
    <w:p w14:paraId="6D2C5D60" w14:textId="77777777" w:rsidR="00E44CC7" w:rsidRPr="00AA76E1" w:rsidRDefault="00E44CC7" w:rsidP="00E44CC7">
      <w:r w:rsidRPr="00E74967">
        <w:rPr>
          <w:rFonts w:cs="Calibri"/>
          <w:b/>
        </w:rPr>
        <w:t>a)</w:t>
      </w:r>
      <w:r w:rsidRPr="00E74967">
        <w:rPr>
          <w:rFonts w:cs="Calibri"/>
        </w:rPr>
        <w:t xml:space="preserve"> Fecha de creación del ente</w:t>
      </w:r>
      <w:r>
        <w:rPr>
          <w:rFonts w:cs="Calibri"/>
        </w:rPr>
        <w:t xml:space="preserve"> público</w:t>
      </w:r>
    </w:p>
    <w:p w14:paraId="5A071B24" w14:textId="77777777" w:rsidR="00E44CC7" w:rsidRPr="00AA76E1" w:rsidRDefault="00E44CC7" w:rsidP="00E44CC7">
      <w:pPr>
        <w:spacing w:after="0"/>
        <w:rPr>
          <w:rFonts w:ascii="Arial" w:hAnsi="Arial" w:cs="Arial"/>
          <w:sz w:val="20"/>
          <w:szCs w:val="20"/>
        </w:rPr>
      </w:pPr>
      <w:r w:rsidRPr="00537FA2">
        <w:rPr>
          <w:rFonts w:ascii="Arial" w:hAnsi="Arial" w:cs="Arial"/>
          <w:sz w:val="20"/>
          <w:szCs w:val="20"/>
        </w:rPr>
        <w:t>El Instituto Tecnológico Superior de Abasolo nace</w:t>
      </w:r>
      <w:r>
        <w:rPr>
          <w:rFonts w:ascii="Arial" w:hAnsi="Arial" w:cs="Arial"/>
          <w:sz w:val="20"/>
          <w:szCs w:val="20"/>
        </w:rPr>
        <w:t xml:space="preserve"> el </w:t>
      </w:r>
      <w:r w:rsidRPr="00AA76E1">
        <w:rPr>
          <w:rFonts w:ascii="Arial" w:hAnsi="Arial" w:cs="Arial"/>
          <w:b/>
          <w:bCs/>
          <w:sz w:val="20"/>
          <w:szCs w:val="20"/>
          <w:u w:val="single"/>
        </w:rPr>
        <w:t>19 de noviembre de 2024</w:t>
      </w:r>
      <w:r w:rsidRPr="00537FA2">
        <w:rPr>
          <w:rFonts w:ascii="Arial" w:hAnsi="Arial" w:cs="Arial"/>
          <w:sz w:val="20"/>
          <w:szCs w:val="20"/>
        </w:rPr>
        <w:t xml:space="preserve"> bajo decreto de creación como un Organismo Público Descentralizado de la Administración Pública Paraestatal, con personalidad Jurídica y Patrimonio Propio. </w:t>
      </w:r>
    </w:p>
    <w:p w14:paraId="5DA92A3D" w14:textId="77777777" w:rsidR="00E44CC7" w:rsidRPr="00537FA2" w:rsidRDefault="00E44CC7" w:rsidP="00E44CC7">
      <w:pPr>
        <w:spacing w:after="0"/>
        <w:rPr>
          <w:sz w:val="20"/>
          <w:szCs w:val="20"/>
        </w:rPr>
      </w:pPr>
    </w:p>
    <w:p w14:paraId="3DC65129" w14:textId="77777777" w:rsidR="00E44CC7" w:rsidRPr="00E74967" w:rsidRDefault="00E44CC7" w:rsidP="00E44CC7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E74967">
        <w:rPr>
          <w:rFonts w:cs="Calibri"/>
          <w:b/>
        </w:rPr>
        <w:t>b)</w:t>
      </w:r>
      <w:r w:rsidRPr="00E74967">
        <w:rPr>
          <w:rFonts w:cs="Calibri"/>
        </w:rPr>
        <w:t xml:space="preserve"> Principales cambios en su estructura (interna históricamente).</w:t>
      </w:r>
    </w:p>
    <w:p w14:paraId="7C24540E" w14:textId="77777777" w:rsidR="00E44CC7" w:rsidRPr="00537FA2" w:rsidRDefault="00E44CC7" w:rsidP="00E44CC7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La estructura orgánica “C” bajo la cual fue creado el Instituto no ha tenido cambios.</w:t>
      </w:r>
    </w:p>
    <w:p w14:paraId="18B985D7" w14:textId="77777777" w:rsidR="00E44CC7" w:rsidRPr="00537FA2" w:rsidRDefault="00E44CC7" w:rsidP="00E44C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Para planeación, operación, ejecución y despacho de los asuntos que le competen, el Instituto contará con la siguiente estructura orgánica:</w:t>
      </w:r>
    </w:p>
    <w:p w14:paraId="20503A30" w14:textId="77777777" w:rsidR="00E44CC7" w:rsidRPr="00537FA2" w:rsidRDefault="00E44CC7" w:rsidP="00E44CC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0D4F5F0" w14:textId="77777777" w:rsidR="00E44CC7" w:rsidRPr="00537FA2" w:rsidRDefault="00E44CC7" w:rsidP="00E44CC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Dirección General</w:t>
      </w:r>
    </w:p>
    <w:p w14:paraId="44EBE25C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Director General</w:t>
      </w:r>
    </w:p>
    <w:p w14:paraId="2857CC06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4B3ACB89" w14:textId="77777777" w:rsidR="00E44CC7" w:rsidRPr="00537FA2" w:rsidRDefault="00E44CC7" w:rsidP="00E44CC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Direcciones de Área</w:t>
      </w:r>
    </w:p>
    <w:p w14:paraId="299F19F1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Planeación </w:t>
      </w:r>
    </w:p>
    <w:p w14:paraId="57B2FDDA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Académica</w:t>
      </w:r>
    </w:p>
    <w:p w14:paraId="08C18318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02CEDC9B" w14:textId="77777777" w:rsidR="00E44CC7" w:rsidRPr="00537FA2" w:rsidRDefault="00E44CC7" w:rsidP="00E44CC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Subdirecciones</w:t>
      </w:r>
    </w:p>
    <w:p w14:paraId="54F1D237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Administración y Finanzas </w:t>
      </w:r>
    </w:p>
    <w:p w14:paraId="5C1A72C1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Académica</w:t>
      </w:r>
    </w:p>
    <w:p w14:paraId="7DB140BC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Planeación </w:t>
      </w:r>
    </w:p>
    <w:p w14:paraId="140D5859" w14:textId="77777777" w:rsidR="00E44CC7" w:rsidRPr="00537FA2" w:rsidRDefault="00E44CC7" w:rsidP="00E44C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Vinculación</w:t>
      </w:r>
    </w:p>
    <w:p w14:paraId="5F02FF1C" w14:textId="77777777" w:rsidR="00E44CC7" w:rsidRDefault="00E44CC7" w:rsidP="00E44CC7">
      <w:pPr>
        <w:tabs>
          <w:tab w:val="left" w:leader="underscore" w:pos="963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37FA2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Investigación</w:t>
      </w:r>
    </w:p>
    <w:p w14:paraId="1101B888" w14:textId="77777777" w:rsidR="00E44CC7" w:rsidRPr="00537FA2" w:rsidRDefault="00E44CC7" w:rsidP="00E44CC7">
      <w:pPr>
        <w:tabs>
          <w:tab w:val="left" w:leader="underscore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E2101E" w14:textId="6113FC2D" w:rsidR="00282009" w:rsidRPr="00E71B93" w:rsidRDefault="00E44CC7" w:rsidP="00F143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Describir el </w:t>
      </w:r>
      <w:r w:rsidR="00C747DB" w:rsidRPr="00E71B93">
        <w:rPr>
          <w:rFonts w:ascii="Arial" w:hAnsi="Arial" w:cs="Arial"/>
          <w:b/>
          <w:sz w:val="18"/>
          <w:szCs w:val="18"/>
        </w:rPr>
        <w:t xml:space="preserve">Panorama Económico y </w:t>
      </w:r>
      <w:r w:rsidR="00282009" w:rsidRPr="00E71B93">
        <w:rPr>
          <w:rFonts w:ascii="Arial" w:hAnsi="Arial" w:cs="Arial"/>
          <w:b/>
          <w:sz w:val="18"/>
          <w:szCs w:val="18"/>
        </w:rPr>
        <w:t>Financiero</w:t>
      </w:r>
      <w:r w:rsidR="00282009" w:rsidRPr="00E71B93">
        <w:rPr>
          <w:rFonts w:ascii="Arial" w:hAnsi="Arial" w:cs="Arial"/>
          <w:b/>
          <w:color w:val="FF0000"/>
          <w:sz w:val="18"/>
          <w:szCs w:val="18"/>
        </w:rPr>
        <w:t>:</w:t>
      </w:r>
    </w:p>
    <w:p w14:paraId="5AA00140" w14:textId="7BA3A14C" w:rsidR="00282009" w:rsidRPr="00E71B93" w:rsidRDefault="00282009" w:rsidP="002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El Instituto Tecnológico Superior de Abasolo obtiene sus recursos financieros de las siguientes fuentes de financiamiento:</w:t>
      </w:r>
    </w:p>
    <w:p w14:paraId="475CCF70" w14:textId="77777777" w:rsidR="00282009" w:rsidRPr="00E71B93" w:rsidRDefault="00282009" w:rsidP="0028200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E8EE32A" w14:textId="1E76EDBD" w:rsidR="00282009" w:rsidRPr="00E71B93" w:rsidRDefault="00282009" w:rsidP="002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a) Los </w:t>
      </w:r>
      <w:r w:rsidRPr="00E71B93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ingresos propios. -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Provenientes venta de bienes y servicios, prestación de servicios y otras ventas de bienes y servicios que se generan por las diversas actividades de la entidad; así como, por convenios específicos suscritos con Instituto de Innovación, Ciencia y Emprendimiento para la competitividad para el desarrollo para el Estado de Guanajuato (Innovación, desarrollo, emprendimiento y aceleración, IDEA-</w:t>
      </w:r>
      <w:r w:rsidR="00750E10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GTO) y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otros organismos.</w:t>
      </w:r>
    </w:p>
    <w:p w14:paraId="5AAD962D" w14:textId="77777777" w:rsidR="00282009" w:rsidRPr="00E71B93" w:rsidRDefault="00282009" w:rsidP="0028200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06726F8" w14:textId="77777777" w:rsidR="00282009" w:rsidRPr="00E71B93" w:rsidRDefault="00282009" w:rsidP="002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b) </w:t>
      </w:r>
      <w:r w:rsidRPr="00E71B93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Transferencias, asignaciones, subsidios y otras ayudas.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- Constituidos por los subsidios de naturaleza ordinaria y extraordinaria que aporta el gobierno del Estado de Guanajuato.</w:t>
      </w:r>
    </w:p>
    <w:p w14:paraId="204EE425" w14:textId="77777777" w:rsidR="00282009" w:rsidRPr="00E71B93" w:rsidRDefault="00282009" w:rsidP="0028200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D931013" w14:textId="77777777" w:rsidR="00282009" w:rsidRPr="00E71B93" w:rsidRDefault="00282009" w:rsidP="002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c) </w:t>
      </w:r>
      <w:r w:rsidRPr="00E71B93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ES"/>
        </w:rPr>
        <w:t>Participaciones y aportaciones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. - Constituidos por las aportaciones ordinarias y extraordinarias que realiza el gobierno Federal a través de convenios específicos con la Secretaría de Educación Pública (SEP) por medio del Tecnológico Nacional de México.</w:t>
      </w:r>
    </w:p>
    <w:p w14:paraId="5DDC57F5" w14:textId="77777777" w:rsidR="00282009" w:rsidRPr="00E71B93" w:rsidRDefault="00282009" w:rsidP="0028200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E6FE703" w14:textId="74EE875F" w:rsidR="00282009" w:rsidRPr="00E71B93" w:rsidRDefault="00282009" w:rsidP="002820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lastRenderedPageBreak/>
        <w:t>Est</w:t>
      </w:r>
      <w:r w:rsidR="00F1438D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as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fuentes de financiamiento de recursos, permiten el funcionamiento operativo del Instituto y favorecen su crecimiento y desarrollo. </w:t>
      </w:r>
    </w:p>
    <w:p w14:paraId="2D25EE2C" w14:textId="77777777" w:rsidR="00282009" w:rsidRPr="00E71B93" w:rsidRDefault="00282009" w:rsidP="002820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</w:p>
    <w:p w14:paraId="15B36B9F" w14:textId="761CA6E7" w:rsidR="00821235" w:rsidRPr="00E71B93" w:rsidRDefault="00282009" w:rsidP="0028200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es-ES" w:eastAsia="es-ES"/>
        </w:rPr>
      </w:pP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La </w:t>
      </w:r>
      <w:r w:rsidR="00821235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Misión de la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Institución</w:t>
      </w:r>
      <w:r w:rsidR="00821235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es “o</w:t>
      </w:r>
      <w:r w:rsidR="00F1438D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frece</w:t>
      </w:r>
      <w:r w:rsidR="00821235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r</w:t>
      </w:r>
      <w:r w:rsidR="00F1438D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</w:t>
      </w:r>
      <w:r w:rsidR="00F1438D" w:rsidRPr="00E71B9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es-ES" w:eastAsia="es-ES"/>
        </w:rPr>
        <w:t>educación superior tecnológica de calidad con planes de estudio pertinentes y orientados a la mejora continua, la sustentabilidad y coadyuvando al progreso de la sociedad de una manera justa y equitativa.</w:t>
      </w:r>
      <w:r w:rsidR="00821235" w:rsidRPr="00E71B9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es-ES" w:eastAsia="es-ES"/>
        </w:rPr>
        <w:t>”</w:t>
      </w:r>
    </w:p>
    <w:p w14:paraId="1F314A7D" w14:textId="77777777" w:rsidR="00282009" w:rsidRPr="00E71B93" w:rsidRDefault="00282009" w:rsidP="0028200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A8290DA" w14:textId="1F0C39B7" w:rsidR="00282009" w:rsidRPr="00E71B93" w:rsidRDefault="00F1438D" w:rsidP="008212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El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panorama económico y financiero del Instituto para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el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ejercicio fiscal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202</w:t>
      </w:r>
      <w:r w:rsidR="007F6452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4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,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está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sujeto a las políticas económicas, sociales y financieras que establece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n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el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G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obierno Estatal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y el Gobierno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Federal, y que de ello depende, continuar con los subsidios y aportaciones que permiten 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desarrollar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las operaciones y propósitos</w:t>
      </w:r>
      <w:r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y objetivos</w:t>
      </w:r>
      <w:r w:rsidR="00282009" w:rsidRPr="00E71B93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básicos del Instituto.</w:t>
      </w:r>
    </w:p>
    <w:p w14:paraId="40766D97" w14:textId="77777777" w:rsidR="009965F5" w:rsidRPr="00E71B93" w:rsidRDefault="009965F5" w:rsidP="002726D8">
      <w:pPr>
        <w:jc w:val="both"/>
        <w:rPr>
          <w:rFonts w:ascii="Arial" w:hAnsi="Arial" w:cs="Arial"/>
          <w:b/>
          <w:sz w:val="18"/>
          <w:szCs w:val="18"/>
        </w:rPr>
      </w:pPr>
    </w:p>
    <w:p w14:paraId="0D76F73D" w14:textId="7B601169" w:rsidR="00C747DB" w:rsidRPr="00E71B93" w:rsidRDefault="00C747DB" w:rsidP="00C747D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Organización y Objeto Social</w:t>
      </w:r>
    </w:p>
    <w:p w14:paraId="27F790B1" w14:textId="77777777" w:rsidR="00C747DB" w:rsidRPr="00E71B93" w:rsidRDefault="00C747DB" w:rsidP="00C747DB">
      <w:pPr>
        <w:pStyle w:val="Prrafodelista"/>
        <w:jc w:val="both"/>
        <w:rPr>
          <w:rFonts w:ascii="Arial" w:hAnsi="Arial" w:cs="Arial"/>
          <w:b/>
          <w:sz w:val="18"/>
          <w:szCs w:val="18"/>
        </w:rPr>
      </w:pPr>
    </w:p>
    <w:p w14:paraId="5F768C3F" w14:textId="77777777" w:rsidR="00C747DB" w:rsidRPr="00E71B93" w:rsidRDefault="00C747DB" w:rsidP="00C747DB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Objeto Social:</w:t>
      </w:r>
    </w:p>
    <w:p w14:paraId="61EF44B2" w14:textId="77777777" w:rsidR="00C747DB" w:rsidRPr="00E71B93" w:rsidRDefault="00C747DB" w:rsidP="00C747DB">
      <w:pPr>
        <w:pStyle w:val="Prrafodelista"/>
        <w:tabs>
          <w:tab w:val="left" w:pos="4851"/>
        </w:tabs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ab/>
      </w:r>
    </w:p>
    <w:p w14:paraId="332B4B83" w14:textId="159172CC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La Ley de Educación para el Estado de Guanajuato establece en su artículo 2, que la educación es el medio fundamental para adquirir, transmitir y acrecentar la cultura, primordialmente a través de la formación cívica y ética. </w:t>
      </w:r>
      <w:r w:rsidR="00897861" w:rsidRPr="00E71B93">
        <w:rPr>
          <w:rFonts w:ascii="Arial" w:hAnsi="Arial" w:cs="Arial"/>
          <w:sz w:val="18"/>
          <w:szCs w:val="18"/>
        </w:rPr>
        <w:t>Señala,</w:t>
      </w:r>
      <w:r w:rsidRPr="00E71B93">
        <w:rPr>
          <w:rFonts w:ascii="Arial" w:hAnsi="Arial" w:cs="Arial"/>
          <w:sz w:val="18"/>
          <w:szCs w:val="18"/>
        </w:rPr>
        <w:t xml:space="preserve"> además, que la educación es un proceso permanente que contribuye al desarrollo del individuo y a la transformación de la sociedad, constituyendo un factor determinante para la adquisición de conocimientos que permitan desarrollar en hombres y mujeres un sentido de solidaridad social. El artículo 3, por otra parte, dispone que la formación en valores, permitirá a los habitantes del Estado de Guanajuato, alcanzar una formación integral y el fortalecimiento del desarrollo de la Entidad y de la Nación.</w:t>
      </w:r>
    </w:p>
    <w:p w14:paraId="1EFCBB2E" w14:textId="77777777" w:rsidR="00C747DB" w:rsidRPr="00E71B93" w:rsidRDefault="00C747DB" w:rsidP="00C747DB">
      <w:pPr>
        <w:tabs>
          <w:tab w:val="left" w:pos="300"/>
          <w:tab w:val="right" w:pos="13004"/>
        </w:tabs>
        <w:spacing w:after="0"/>
        <w:rPr>
          <w:rFonts w:ascii="Arial" w:hAnsi="Arial" w:cs="Arial"/>
          <w:sz w:val="18"/>
          <w:szCs w:val="18"/>
        </w:rPr>
      </w:pPr>
    </w:p>
    <w:p w14:paraId="29D2FFC1" w14:textId="40CC1758" w:rsidR="00FC52A6" w:rsidRPr="00E71B93" w:rsidRDefault="00C747DB" w:rsidP="00C747DB">
      <w:pPr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Estado, debe promover a través de sus organismos públicos descentralizados la educación superior, a fin de apoyar la investigación científica y tecnológica, así como alentar al fortalecimiento y la difusión de la cultura nacional y universal</w:t>
      </w:r>
    </w:p>
    <w:p w14:paraId="5467F1C6" w14:textId="77777777" w:rsidR="00C747DB" w:rsidRPr="00E71B93" w:rsidRDefault="00C747DB" w:rsidP="00C747DB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Actividad principal.</w:t>
      </w:r>
    </w:p>
    <w:p w14:paraId="32B32E32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Escuela de Educación Superior perteneciente al sector público.</w:t>
      </w:r>
    </w:p>
    <w:p w14:paraId="5BF01E88" w14:textId="77777777" w:rsidR="00C01D16" w:rsidRPr="00E71B93" w:rsidRDefault="00C01D16" w:rsidP="00C747D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5D02BAA" w14:textId="77777777" w:rsidR="00C747DB" w:rsidRPr="00E71B93" w:rsidRDefault="00C747DB" w:rsidP="00C747DB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Ejercicio Fiscal  </w:t>
      </w:r>
    </w:p>
    <w:p w14:paraId="0DA1E438" w14:textId="16BCE108" w:rsidR="001B04E5" w:rsidRPr="00E71B93" w:rsidRDefault="00204CB2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Enero - diciembre 202</w:t>
      </w:r>
      <w:r w:rsidR="001B04E5" w:rsidRPr="00E71B93">
        <w:rPr>
          <w:rFonts w:ascii="Arial" w:hAnsi="Arial" w:cs="Arial"/>
          <w:sz w:val="18"/>
          <w:szCs w:val="18"/>
        </w:rPr>
        <w:t>4</w:t>
      </w:r>
    </w:p>
    <w:p w14:paraId="1806A925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293A604" w14:textId="77777777" w:rsidR="00C747DB" w:rsidRPr="00E71B93" w:rsidRDefault="00C747DB" w:rsidP="00C747DB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Régimen jurídico</w:t>
      </w:r>
    </w:p>
    <w:p w14:paraId="0554BC6D" w14:textId="669031D6" w:rsidR="00C747DB" w:rsidRPr="00E71B93" w:rsidRDefault="00C747DB" w:rsidP="00C01D16">
      <w:pPr>
        <w:pStyle w:val="Prrafodelista"/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Persona moral con fines no lucrativos</w:t>
      </w:r>
    </w:p>
    <w:p w14:paraId="44D4CEAF" w14:textId="77777777" w:rsidR="00687929" w:rsidRPr="00E71B93" w:rsidRDefault="00687929" w:rsidP="00C01D16">
      <w:pPr>
        <w:pStyle w:val="Prrafodelista"/>
        <w:spacing w:after="0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1ECD5454" w14:textId="77777777" w:rsidR="00C747DB" w:rsidRPr="00E71B93" w:rsidRDefault="00C747DB" w:rsidP="00C747DB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Condiciones fiscales</w:t>
      </w:r>
    </w:p>
    <w:p w14:paraId="598E24CF" w14:textId="0CF9111B" w:rsidR="00687929" w:rsidRPr="00E71B93" w:rsidRDefault="00C747DB" w:rsidP="00FB71EA">
      <w:pPr>
        <w:pStyle w:val="Prrafodelista"/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Presentar la declaración y pago provisional mensual de retenciones de Impuesto Sobre la Renta (ISR) por sueldos y Salarios</w:t>
      </w:r>
      <w:r w:rsidR="004A20FF" w:rsidRPr="00E71B93">
        <w:rPr>
          <w:rFonts w:ascii="Arial" w:hAnsi="Arial" w:cs="Arial"/>
          <w:sz w:val="18"/>
          <w:szCs w:val="18"/>
        </w:rPr>
        <w:t>,</w:t>
      </w:r>
      <w:r w:rsidRPr="00E71B93">
        <w:rPr>
          <w:rFonts w:ascii="Arial" w:hAnsi="Arial" w:cs="Arial"/>
          <w:sz w:val="18"/>
          <w:szCs w:val="18"/>
        </w:rPr>
        <w:t xml:space="preserve"> </w:t>
      </w:r>
      <w:r w:rsidR="004A20FF" w:rsidRPr="00E71B93">
        <w:rPr>
          <w:rFonts w:ascii="Arial" w:hAnsi="Arial" w:cs="Arial"/>
          <w:sz w:val="18"/>
          <w:szCs w:val="18"/>
        </w:rPr>
        <w:t>Presentar</w:t>
      </w:r>
      <w:r w:rsidRPr="00E71B93">
        <w:rPr>
          <w:rFonts w:ascii="Arial" w:hAnsi="Arial" w:cs="Arial"/>
          <w:sz w:val="18"/>
          <w:szCs w:val="18"/>
        </w:rPr>
        <w:t xml:space="preserve"> mensualmente</w:t>
      </w:r>
      <w:r w:rsidR="004A20FF" w:rsidRPr="00E71B93">
        <w:rPr>
          <w:rFonts w:ascii="Arial" w:hAnsi="Arial" w:cs="Arial"/>
          <w:sz w:val="18"/>
          <w:szCs w:val="18"/>
        </w:rPr>
        <w:t xml:space="preserve"> la declaración Informativa de</w:t>
      </w:r>
      <w:r w:rsidRPr="00E71B93">
        <w:rPr>
          <w:rFonts w:ascii="Arial" w:hAnsi="Arial" w:cs="Arial"/>
          <w:sz w:val="18"/>
          <w:szCs w:val="18"/>
        </w:rPr>
        <w:t xml:space="preserve"> </w:t>
      </w:r>
      <w:r w:rsidR="004A20FF" w:rsidRPr="00E71B93">
        <w:rPr>
          <w:rFonts w:ascii="Arial" w:hAnsi="Arial" w:cs="Arial"/>
          <w:sz w:val="18"/>
          <w:szCs w:val="18"/>
        </w:rPr>
        <w:t>operaciones realizadas con terceros (DIOT)</w:t>
      </w:r>
      <w:r w:rsidR="0079687C" w:rsidRPr="00E71B93">
        <w:rPr>
          <w:rFonts w:ascii="Arial" w:hAnsi="Arial" w:cs="Arial"/>
          <w:sz w:val="18"/>
          <w:szCs w:val="18"/>
        </w:rPr>
        <w:t xml:space="preserve">, Presentar declaración </w:t>
      </w:r>
      <w:r w:rsidR="002A4EC7" w:rsidRPr="00E71B93">
        <w:rPr>
          <w:rFonts w:ascii="Arial" w:hAnsi="Arial" w:cs="Arial"/>
          <w:sz w:val="18"/>
          <w:szCs w:val="18"/>
        </w:rPr>
        <w:t xml:space="preserve">Impuesto Cedular Sobre Nómina, </w:t>
      </w:r>
      <w:r w:rsidR="0079687C" w:rsidRPr="00E71B93">
        <w:rPr>
          <w:rFonts w:ascii="Arial" w:hAnsi="Arial" w:cs="Arial"/>
          <w:sz w:val="18"/>
          <w:szCs w:val="18"/>
        </w:rPr>
        <w:t>de retenc</w:t>
      </w:r>
      <w:r w:rsidR="002A4EC7" w:rsidRPr="00E71B93">
        <w:rPr>
          <w:rFonts w:ascii="Arial" w:hAnsi="Arial" w:cs="Arial"/>
          <w:sz w:val="18"/>
          <w:szCs w:val="18"/>
        </w:rPr>
        <w:t>i</w:t>
      </w:r>
      <w:r w:rsidR="0079687C" w:rsidRPr="00E71B93">
        <w:rPr>
          <w:rFonts w:ascii="Arial" w:hAnsi="Arial" w:cs="Arial"/>
          <w:sz w:val="18"/>
          <w:szCs w:val="18"/>
        </w:rPr>
        <w:t>ones</w:t>
      </w:r>
      <w:r w:rsidR="002A4EC7" w:rsidRPr="00E71B93">
        <w:rPr>
          <w:rFonts w:ascii="Arial" w:hAnsi="Arial" w:cs="Arial"/>
          <w:sz w:val="18"/>
          <w:szCs w:val="18"/>
        </w:rPr>
        <w:t>, Presentar la Declaración de</w:t>
      </w:r>
      <w:r w:rsidR="0079687C" w:rsidRPr="00E71B93">
        <w:rPr>
          <w:rFonts w:ascii="Arial" w:hAnsi="Arial" w:cs="Arial"/>
          <w:sz w:val="18"/>
          <w:szCs w:val="18"/>
        </w:rPr>
        <w:t xml:space="preserve"> </w:t>
      </w:r>
      <w:r w:rsidR="002A4EC7" w:rsidRPr="00E71B93">
        <w:rPr>
          <w:rFonts w:ascii="Arial" w:hAnsi="Arial" w:cs="Arial"/>
          <w:color w:val="000000"/>
          <w:sz w:val="18"/>
          <w:szCs w:val="18"/>
        </w:rPr>
        <w:t>Impuesto cedular por retención de servicios profesionales, Pago de IMSS mensual y bimestral según corresponda, INFONAVIT bimestral.</w:t>
      </w:r>
    </w:p>
    <w:p w14:paraId="206E809C" w14:textId="0F5371C2" w:rsidR="00687929" w:rsidRPr="00E71B93" w:rsidRDefault="00687929" w:rsidP="00FB71E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011AB8E" w14:textId="00EF4FCA" w:rsidR="00761783" w:rsidRPr="00E71B93" w:rsidRDefault="00761783" w:rsidP="00FB71E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7D4ACC1" w14:textId="34F4670B" w:rsidR="00761783" w:rsidRPr="00E71B93" w:rsidRDefault="00761783" w:rsidP="00FB71E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6B2759" w14:textId="77777777" w:rsidR="00761783" w:rsidRPr="00E71B93" w:rsidRDefault="00761783" w:rsidP="00FB71E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4C8FE86" w14:textId="4CBA250A" w:rsidR="00C747DB" w:rsidRPr="00E71B93" w:rsidRDefault="00C747DB" w:rsidP="00C747DB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lastRenderedPageBreak/>
        <w:t>Estructura organizacional básica</w:t>
      </w:r>
    </w:p>
    <w:p w14:paraId="2E15091F" w14:textId="1C2BD63D" w:rsidR="00687929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835CA46" wp14:editId="2EBBB2EF">
            <wp:simplePos x="0" y="0"/>
            <wp:positionH relativeFrom="margin">
              <wp:posOffset>348340</wp:posOffset>
            </wp:positionH>
            <wp:positionV relativeFrom="paragraph">
              <wp:posOffset>4038</wp:posOffset>
            </wp:positionV>
            <wp:extent cx="6864824" cy="515274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08" cy="516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FD9DD" w14:textId="0F2E3A9C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B8B319C" w14:textId="456EDF11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9707B13" w14:textId="7B2E50F4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AE4A4AA" w14:textId="2556AAA6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8F8531C" w14:textId="097C3E50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6F2FA4" w14:textId="05E364AC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812336E" w14:textId="6D4C0961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910C959" w14:textId="34091F98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0DCFE7" w14:textId="037EBFCC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4F6B10" w14:textId="36CB215A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9CB39B0" w14:textId="7470CD0E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677942A" w14:textId="51197864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CCD623E" w14:textId="5E3EBC1D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7C38B57" w14:textId="13C5442D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1D53556" w14:textId="6A3772E5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578A5E9" w14:textId="7081AAB1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7E3A58" w14:textId="3A910721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8CB4990" w14:textId="7535B377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F4B26A3" w14:textId="5115EE17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5BCF02" w14:textId="6323C3F7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B95AB6F" w14:textId="489B125A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40FD3B0" w14:textId="1E39062B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CAE6396" w14:textId="192F1B4E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374073" w14:textId="7B0660B8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7EE4A4A" w14:textId="2BA4BE91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A2F97AA" w14:textId="5EB2F8C0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FDCB60" w14:textId="77777777" w:rsidR="00813898" w:rsidRPr="00E71B93" w:rsidRDefault="00813898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E819395" w14:textId="16D1527B" w:rsidR="00FB71EA" w:rsidRPr="00E71B93" w:rsidRDefault="00FB71E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75607A8" w14:textId="3A70A31B" w:rsidR="00761783" w:rsidRPr="00E71B93" w:rsidRDefault="0076178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E2E0C04" w14:textId="178FBAB1" w:rsidR="00761783" w:rsidRPr="00E71B93" w:rsidRDefault="0076178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FF9C57B" w14:textId="2C19EDD4" w:rsidR="00761783" w:rsidRPr="00E71B93" w:rsidRDefault="0076178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9C5B873" w14:textId="55268F03" w:rsidR="00761783" w:rsidRDefault="0076178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34942DA" w14:textId="6C967A16" w:rsidR="00E71B93" w:rsidRDefault="00E71B9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3D6967A" w14:textId="19E8FD7A" w:rsidR="00E71B93" w:rsidRDefault="00E71B9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50FDF9" w14:textId="77777777" w:rsidR="00E44CC7" w:rsidRDefault="00E44CC7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066E619" w14:textId="77777777" w:rsidR="00761783" w:rsidRPr="00E71B93" w:rsidRDefault="0076178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DD90E87" w14:textId="649F3638" w:rsidR="00C747DB" w:rsidRPr="00E71B93" w:rsidRDefault="00C747DB" w:rsidP="00C747DB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lastRenderedPageBreak/>
        <w:t>Fideicomisos, mandatos y análogos de los cuales es fideicomitente o fiduciario</w:t>
      </w:r>
    </w:p>
    <w:p w14:paraId="0B0F458F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ITESA no cuenta con ningún fideicomiso</w:t>
      </w:r>
    </w:p>
    <w:p w14:paraId="79F23343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BA59417" w14:textId="7FB87C97" w:rsidR="00C747DB" w:rsidRPr="00E71B93" w:rsidRDefault="00C747DB" w:rsidP="00C747D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Bases de preparación de los Estados Financieros:</w:t>
      </w:r>
    </w:p>
    <w:p w14:paraId="7A2F0ED8" w14:textId="4C3BE7D8" w:rsidR="00C747DB" w:rsidRPr="00E71B93" w:rsidRDefault="00C747DB" w:rsidP="00C747DB">
      <w:pPr>
        <w:pStyle w:val="Prrafodelista"/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A596229" w14:textId="2CE87466" w:rsidR="00C747DB" w:rsidRPr="00E71B93" w:rsidRDefault="00C747DB" w:rsidP="00C747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Se observa la normatividad emitida por el CONAC y las disposiciones legales aplicables</w:t>
      </w:r>
    </w:p>
    <w:p w14:paraId="5217BC19" w14:textId="427BC55F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Las bases de preparación de los estados financieros observan la normatividad emitida por el CONAC y las disposiciones legales aplicables. </w:t>
      </w:r>
    </w:p>
    <w:p w14:paraId="7397F900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83860C0" w14:textId="534401EA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Es importante mencionar que el ITESA a partir del ejercicio año 2015 se incorporó al Sistema Integral de Hacienda Pública que maneja el Estado y es el Poder Ejecutivo, el encargado de realizar la configuración en el Sistema Integral de Hacienda Pública conforme a las características de estructura, diseño y operación que indica la Ley de Contabilidad Gubernamental</w:t>
      </w:r>
      <w:r w:rsidR="00711C1E" w:rsidRPr="00E71B93">
        <w:rPr>
          <w:rFonts w:ascii="Arial" w:hAnsi="Arial" w:cs="Arial"/>
          <w:sz w:val="18"/>
          <w:szCs w:val="18"/>
        </w:rPr>
        <w:t xml:space="preserve">. Y es en este </w:t>
      </w:r>
      <w:r w:rsidR="00073192" w:rsidRPr="00E71B93">
        <w:rPr>
          <w:rFonts w:ascii="Arial" w:hAnsi="Arial" w:cs="Arial"/>
          <w:sz w:val="18"/>
          <w:szCs w:val="18"/>
        </w:rPr>
        <w:t>mismo ejercicio</w:t>
      </w:r>
      <w:r w:rsidRPr="00E71B93">
        <w:rPr>
          <w:rFonts w:ascii="Arial" w:hAnsi="Arial" w:cs="Arial"/>
          <w:sz w:val="18"/>
          <w:szCs w:val="18"/>
        </w:rPr>
        <w:t xml:space="preserve"> el ITESA se alinea también a los instrumentos definidos por el Poder Ejecutivo del Estado para cumplir con las normas establecidas por el CONAC.</w:t>
      </w:r>
    </w:p>
    <w:p w14:paraId="15E46105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56ACA4A" w14:textId="642EE86D" w:rsidR="00C747DB" w:rsidRPr="00E71B93" w:rsidRDefault="00C747DB" w:rsidP="00C747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La normatividad aplicada para el reconocimiento, valuación y revelación de los diferentes rubros de la información </w:t>
      </w:r>
      <w:r w:rsidR="0012758A" w:rsidRPr="00E71B93">
        <w:rPr>
          <w:rFonts w:ascii="Arial" w:hAnsi="Arial" w:cs="Arial"/>
          <w:b/>
          <w:sz w:val="18"/>
          <w:szCs w:val="18"/>
        </w:rPr>
        <w:t>financieras,</w:t>
      </w:r>
      <w:r w:rsidRPr="00E71B93">
        <w:rPr>
          <w:rFonts w:ascii="Arial" w:hAnsi="Arial" w:cs="Arial"/>
          <w:b/>
          <w:sz w:val="18"/>
          <w:szCs w:val="18"/>
        </w:rPr>
        <w:t xml:space="preserve"> así como las bases de medición utilizadas para la elaboración de los estados financieros; por ejemplo: costo histórico, valor de realización </w:t>
      </w:r>
      <w:r w:rsidR="0012758A" w:rsidRPr="00E71B93">
        <w:rPr>
          <w:rFonts w:ascii="Arial" w:hAnsi="Arial" w:cs="Arial"/>
          <w:b/>
          <w:sz w:val="18"/>
          <w:szCs w:val="18"/>
        </w:rPr>
        <w:t>valor razonable</w:t>
      </w:r>
      <w:r w:rsidRPr="00E71B93">
        <w:rPr>
          <w:rFonts w:ascii="Arial" w:hAnsi="Arial" w:cs="Arial"/>
          <w:b/>
          <w:sz w:val="18"/>
          <w:szCs w:val="18"/>
        </w:rPr>
        <w:t xml:space="preserve"> valor de recuperación o cualquier otro método empleado y los criterios de aplicación de los mismos</w:t>
      </w:r>
    </w:p>
    <w:p w14:paraId="1CDF720B" w14:textId="5E37CA0B" w:rsidR="00C747DB" w:rsidRPr="00E71B93" w:rsidRDefault="00C747DB" w:rsidP="00C747DB">
      <w:pPr>
        <w:pStyle w:val="Prrafodelista"/>
        <w:spacing w:after="0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534CDDE8" w14:textId="26C3094A" w:rsidR="00E04F10" w:rsidRPr="00E71B93" w:rsidRDefault="00E04F10" w:rsidP="00E04F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Las bases de preparación de los estados financieros observan la normatividad aplicada para el reconocimiento, valuación y revelación de los diferentes rubros de la información financiera, así como las bases de </w:t>
      </w:r>
      <w:r w:rsidR="00897861" w:rsidRPr="00E71B93">
        <w:rPr>
          <w:rFonts w:ascii="Arial" w:hAnsi="Arial" w:cs="Arial"/>
          <w:sz w:val="18"/>
          <w:szCs w:val="18"/>
        </w:rPr>
        <w:t>medición utilizadas</w:t>
      </w:r>
      <w:r w:rsidRPr="00E71B93">
        <w:rPr>
          <w:rFonts w:ascii="Arial" w:hAnsi="Arial" w:cs="Arial"/>
          <w:sz w:val="18"/>
          <w:szCs w:val="18"/>
        </w:rPr>
        <w:t xml:space="preserve"> para la elaboración de los estados financieros; por ejemplo: costo histórico, valor de realización </w:t>
      </w:r>
      <w:r w:rsidR="00897861" w:rsidRPr="00E71B93">
        <w:rPr>
          <w:rFonts w:ascii="Arial" w:hAnsi="Arial" w:cs="Arial"/>
          <w:sz w:val="18"/>
          <w:szCs w:val="18"/>
        </w:rPr>
        <w:t>valor razonable</w:t>
      </w:r>
      <w:r w:rsidRPr="00E71B93">
        <w:rPr>
          <w:rFonts w:ascii="Arial" w:hAnsi="Arial" w:cs="Arial"/>
          <w:sz w:val="18"/>
          <w:szCs w:val="18"/>
        </w:rPr>
        <w:t xml:space="preserve"> valor de recuperación o cualquier otro método empleado y los criterios de aplicación de los mismo.</w:t>
      </w:r>
    </w:p>
    <w:p w14:paraId="4D73172C" w14:textId="77777777" w:rsidR="00E04F10" w:rsidRPr="00E71B93" w:rsidRDefault="00E04F10" w:rsidP="00E04F10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1A4AB785" w14:textId="76D34D8F" w:rsidR="008E6FC0" w:rsidRPr="00E71B93" w:rsidRDefault="0012758A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Documentos Emitidos por el conac</w:t>
      </w:r>
    </w:p>
    <w:p w14:paraId="4541DB4C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A86BFDD" w14:textId="77777777" w:rsidR="00C747DB" w:rsidRPr="00E71B93" w:rsidRDefault="00C747DB" w:rsidP="00C747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Postulados básicos </w:t>
      </w:r>
    </w:p>
    <w:p w14:paraId="09337C8A" w14:textId="3ECA9D68" w:rsidR="00C747DB" w:rsidRPr="00E71B93" w:rsidRDefault="008E6FC0" w:rsidP="008E6FC0">
      <w:pPr>
        <w:pStyle w:val="Textocomentario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Los estados financieros están elaborados de acuerdo a los postulados básicos emitidos por el CONAC.</w:t>
      </w:r>
    </w:p>
    <w:p w14:paraId="173D6FDC" w14:textId="77777777" w:rsidR="00C747DB" w:rsidRPr="00E71B93" w:rsidRDefault="00C747DB" w:rsidP="00C747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Normatividad supletoria En caso de emplear varios grupos de normatividades (normatividades supletorias), deberá realizar la justificación razonable correspondiente, su alineación con los PVCG y a las características cualitativas asociadas descritas en el MCCG (documentos publicados en el Diario Oficial de la Federación, agosto 2009).</w:t>
      </w:r>
    </w:p>
    <w:p w14:paraId="2AF90777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EA03114" w14:textId="74AAF938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Para efectos de la elaboración de información financiera la normatividad que se emplea es la emitida por el CONAC y la normatividad que emite el Poder Ejecutivo, del Estado misma que esa alineada a las normas de CONAC.</w:t>
      </w:r>
    </w:p>
    <w:p w14:paraId="1A2C143A" w14:textId="77777777" w:rsidR="00761783" w:rsidRPr="00E71B93" w:rsidRDefault="0076178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8EDCC21" w14:textId="60032B8F" w:rsidR="00C747DB" w:rsidRPr="00E71B93" w:rsidRDefault="00C747DB" w:rsidP="00C747D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Para las entidades que por primera vez estén </w:t>
      </w:r>
      <w:r w:rsidR="00897861" w:rsidRPr="00E71B93">
        <w:rPr>
          <w:rFonts w:ascii="Arial" w:hAnsi="Arial" w:cs="Arial"/>
          <w:b/>
          <w:sz w:val="18"/>
          <w:szCs w:val="18"/>
        </w:rPr>
        <w:t>implementando el base devengado</w:t>
      </w:r>
      <w:r w:rsidRPr="00E71B93">
        <w:rPr>
          <w:rFonts w:ascii="Arial" w:hAnsi="Arial" w:cs="Arial"/>
          <w:b/>
          <w:sz w:val="18"/>
          <w:szCs w:val="18"/>
        </w:rPr>
        <w:t xml:space="preserve"> de acuerdo a la Ley de Contabilidad, deberán: </w:t>
      </w:r>
    </w:p>
    <w:p w14:paraId="15BCD59F" w14:textId="77777777" w:rsidR="00C747DB" w:rsidRPr="00E71B93" w:rsidRDefault="00C747DB" w:rsidP="00C747D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Revelar las nuevas políticas de reconocimiento:</w:t>
      </w:r>
    </w:p>
    <w:p w14:paraId="085C011E" w14:textId="77777777" w:rsidR="00C747DB" w:rsidRPr="00E71B93" w:rsidRDefault="00C747DB" w:rsidP="00C747DB">
      <w:pPr>
        <w:spacing w:after="0"/>
        <w:ind w:left="72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devengado en el egreso y el ingreso se implementó a partir del ejercicio del 2015 año de incorporación del ITESA</w:t>
      </w:r>
    </w:p>
    <w:p w14:paraId="4CA392E5" w14:textId="25C36EBA" w:rsidR="00C747DB" w:rsidRPr="00E71B93" w:rsidRDefault="00C747DB" w:rsidP="00C747D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Plan de </w:t>
      </w:r>
      <w:r w:rsidR="00897861" w:rsidRPr="00E71B93">
        <w:rPr>
          <w:rFonts w:ascii="Arial" w:hAnsi="Arial" w:cs="Arial"/>
          <w:sz w:val="18"/>
          <w:szCs w:val="18"/>
        </w:rPr>
        <w:t>implementación:</w:t>
      </w:r>
      <w:r w:rsidRPr="00E71B93">
        <w:rPr>
          <w:rFonts w:ascii="Arial" w:hAnsi="Arial" w:cs="Arial"/>
          <w:sz w:val="18"/>
          <w:szCs w:val="18"/>
        </w:rPr>
        <w:t xml:space="preserve"> </w:t>
      </w:r>
    </w:p>
    <w:p w14:paraId="3A474178" w14:textId="77777777" w:rsidR="00C747DB" w:rsidRPr="00E71B93" w:rsidRDefault="00C747DB" w:rsidP="00C747DB">
      <w:pPr>
        <w:pStyle w:val="Prrafodelista"/>
        <w:tabs>
          <w:tab w:val="left" w:pos="300"/>
          <w:tab w:val="right" w:pos="13004"/>
        </w:tabs>
        <w:spacing w:after="0"/>
        <w:ind w:left="1080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ab/>
      </w:r>
    </w:p>
    <w:p w14:paraId="5AA7701C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lastRenderedPageBreak/>
        <w:t>Es el poder ejecutivo el encargado de realizar la configuración y parametrización del sistema integral de hacienda pública conforme a las características de estructura, diseño y operación que indica la Ley General de Contabilidad Gubernamental.</w:t>
      </w:r>
    </w:p>
    <w:p w14:paraId="0C18797C" w14:textId="020825FE" w:rsidR="00C747DB" w:rsidRPr="00E71B93" w:rsidRDefault="00C747DB" w:rsidP="00FB71E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Revelar los cambios en las políticas, clasificación y medición de las mismas, así como su impacto en la información financiera: No aplica</w:t>
      </w:r>
    </w:p>
    <w:p w14:paraId="21711560" w14:textId="77777777" w:rsidR="00A95E29" w:rsidRPr="00E71B93" w:rsidRDefault="00A95E29" w:rsidP="00A95E29">
      <w:pPr>
        <w:pStyle w:val="Prrafodelista"/>
        <w:spacing w:after="0"/>
        <w:ind w:left="1494"/>
        <w:jc w:val="both"/>
        <w:rPr>
          <w:rFonts w:ascii="Arial" w:hAnsi="Arial" w:cs="Arial"/>
          <w:b/>
          <w:sz w:val="18"/>
          <w:szCs w:val="18"/>
        </w:rPr>
      </w:pPr>
    </w:p>
    <w:p w14:paraId="21F94FE2" w14:textId="22047E61" w:rsidR="00C747DB" w:rsidRPr="00E71B93" w:rsidRDefault="00C747DB" w:rsidP="00C747D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Políticas de Contabilidad Significativas: </w:t>
      </w:r>
    </w:p>
    <w:p w14:paraId="747A4FAA" w14:textId="77777777" w:rsidR="00C747DB" w:rsidRPr="00E71B93" w:rsidRDefault="00C747DB" w:rsidP="00C747DB">
      <w:pPr>
        <w:pStyle w:val="Prrafodelista"/>
        <w:spacing w:after="0"/>
        <w:ind w:left="1494"/>
        <w:jc w:val="both"/>
        <w:rPr>
          <w:rFonts w:ascii="Arial" w:hAnsi="Arial" w:cs="Arial"/>
          <w:b/>
          <w:sz w:val="18"/>
          <w:szCs w:val="18"/>
        </w:rPr>
      </w:pPr>
    </w:p>
    <w:p w14:paraId="3C7814B4" w14:textId="61C63766" w:rsidR="00897861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Se informará sobre:</w:t>
      </w:r>
    </w:p>
    <w:p w14:paraId="5D96E10B" w14:textId="77777777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Actualización.</w:t>
      </w:r>
    </w:p>
    <w:p w14:paraId="0044503F" w14:textId="0C54EE0B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No aplica</w:t>
      </w:r>
    </w:p>
    <w:p w14:paraId="4CC5ECB3" w14:textId="77777777" w:rsidR="00DD39A1" w:rsidRPr="00E71B93" w:rsidRDefault="00DD39A1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7C72DEB" w14:textId="2B680E42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Informar sobre las operaciones en el extranjero y de sus efectos en la información financiera gubernamental:</w:t>
      </w:r>
    </w:p>
    <w:p w14:paraId="0F397095" w14:textId="7068AF7F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realiza operaciones en el extranjero.</w:t>
      </w:r>
    </w:p>
    <w:p w14:paraId="7B218887" w14:textId="77777777" w:rsidR="00DD39A1" w:rsidRPr="00E71B93" w:rsidRDefault="00DD39A1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9A0CEAF" w14:textId="32B57C5F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Método de valuación de la inversión en acciones de Compañías subsidiarias no consolidadas y asociadas:</w:t>
      </w:r>
    </w:p>
    <w:p w14:paraId="0B9BBB2F" w14:textId="31B3E5D7" w:rsidR="00DD39A1" w:rsidRPr="00E71B93" w:rsidRDefault="00F74D64" w:rsidP="00C747DB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El ITESA no tiene inversiones por lo tanto no cuenta con un </w:t>
      </w:r>
      <w:r w:rsidRPr="00E71B93">
        <w:rPr>
          <w:rFonts w:ascii="Arial" w:hAnsi="Arial" w:cs="Arial"/>
          <w:bCs/>
          <w:sz w:val="18"/>
          <w:szCs w:val="18"/>
        </w:rPr>
        <w:t>Método de valuación de la inversión en acciones de Compañías subsidiarias no consolidadas y asociadas</w:t>
      </w:r>
    </w:p>
    <w:p w14:paraId="51E282F6" w14:textId="7BC684B8" w:rsidR="00F74D64" w:rsidRPr="00E71B93" w:rsidRDefault="00F74D64" w:rsidP="00C747DB">
      <w:pPr>
        <w:spacing w:after="0"/>
        <w:jc w:val="both"/>
        <w:rPr>
          <w:rFonts w:ascii="Arial" w:hAnsi="Arial" w:cs="Arial"/>
          <w:bCs/>
          <w:sz w:val="18"/>
          <w:szCs w:val="18"/>
        </w:rPr>
      </w:pPr>
    </w:p>
    <w:p w14:paraId="5CEE8AE5" w14:textId="77777777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Sistema y Método de Evaluación de Inventarios y Costo de lo Vendido</w:t>
      </w:r>
    </w:p>
    <w:p w14:paraId="1E23CF77" w14:textId="3B42C981" w:rsidR="00DD39A1" w:rsidRPr="00E71B93" w:rsidRDefault="00897861" w:rsidP="00F74D64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El ITESA No cuenta con inventarios, por lo </w:t>
      </w:r>
      <w:r w:rsidR="001B04E5" w:rsidRPr="00E71B93">
        <w:rPr>
          <w:rFonts w:ascii="Arial" w:hAnsi="Arial" w:cs="Arial"/>
          <w:sz w:val="18"/>
          <w:szCs w:val="18"/>
        </w:rPr>
        <w:t>tanto,</w:t>
      </w:r>
      <w:r w:rsidRPr="00E71B93">
        <w:rPr>
          <w:rFonts w:ascii="Arial" w:hAnsi="Arial" w:cs="Arial"/>
          <w:sz w:val="18"/>
          <w:szCs w:val="18"/>
        </w:rPr>
        <w:t xml:space="preserve"> no tiene</w:t>
      </w:r>
      <w:r w:rsidR="00F74D64" w:rsidRPr="00E71B93">
        <w:rPr>
          <w:rFonts w:ascii="Arial" w:hAnsi="Arial" w:cs="Arial"/>
          <w:sz w:val="18"/>
          <w:szCs w:val="18"/>
        </w:rPr>
        <w:t xml:space="preserve"> un</w:t>
      </w:r>
      <w:r w:rsidRPr="00E71B93">
        <w:rPr>
          <w:rFonts w:ascii="Arial" w:hAnsi="Arial" w:cs="Arial"/>
          <w:sz w:val="18"/>
          <w:szCs w:val="18"/>
        </w:rPr>
        <w:t xml:space="preserve"> </w:t>
      </w:r>
      <w:r w:rsidR="00F74D64" w:rsidRPr="00E71B93">
        <w:rPr>
          <w:rFonts w:ascii="Arial" w:hAnsi="Arial" w:cs="Arial"/>
          <w:bCs/>
          <w:sz w:val="18"/>
          <w:szCs w:val="18"/>
        </w:rPr>
        <w:t>Sistema y Método de Evaluación de Inventarios y Costo de lo Vendido</w:t>
      </w:r>
    </w:p>
    <w:p w14:paraId="79F863D6" w14:textId="77777777" w:rsidR="00897861" w:rsidRPr="00E71B93" w:rsidRDefault="00897861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F937195" w14:textId="78629646" w:rsidR="00DD39A1" w:rsidRPr="00E71B93" w:rsidRDefault="00C747DB" w:rsidP="00DD39A1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Beneficios</w:t>
      </w:r>
      <w:r w:rsidR="001E26ED" w:rsidRPr="00E71B93">
        <w:rPr>
          <w:rFonts w:ascii="Arial" w:hAnsi="Arial" w:cs="Arial"/>
          <w:b/>
          <w:sz w:val="18"/>
          <w:szCs w:val="18"/>
        </w:rPr>
        <w:t xml:space="preserve"> e</w:t>
      </w:r>
      <w:r w:rsidRPr="00E71B93">
        <w:rPr>
          <w:rFonts w:ascii="Arial" w:hAnsi="Arial" w:cs="Arial"/>
          <w:b/>
          <w:sz w:val="18"/>
          <w:szCs w:val="18"/>
        </w:rPr>
        <w:t>mpl</w:t>
      </w:r>
      <w:r w:rsidR="001E26ED" w:rsidRPr="00E71B93">
        <w:rPr>
          <w:rFonts w:ascii="Arial" w:hAnsi="Arial" w:cs="Arial"/>
          <w:b/>
          <w:sz w:val="18"/>
          <w:szCs w:val="18"/>
        </w:rPr>
        <w:t>e</w:t>
      </w:r>
      <w:r w:rsidRPr="00E71B93">
        <w:rPr>
          <w:rFonts w:ascii="Arial" w:hAnsi="Arial" w:cs="Arial"/>
          <w:b/>
          <w:sz w:val="18"/>
          <w:szCs w:val="18"/>
        </w:rPr>
        <w:t>ados: Revelar el cálculo de la reserva actuarial, valor presente de los ingresos esperados comparado con el valor presente de la estimación de gastos tanto de los beneficios actuales como futuros:</w:t>
      </w:r>
    </w:p>
    <w:p w14:paraId="2F5E42B0" w14:textId="33527F41" w:rsidR="00C747DB" w:rsidRPr="00E71B93" w:rsidRDefault="00897861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</w:t>
      </w:r>
      <w:r w:rsidR="00DD39A1" w:rsidRPr="00E71B93">
        <w:rPr>
          <w:rFonts w:ascii="Arial" w:hAnsi="Arial" w:cs="Arial"/>
          <w:sz w:val="18"/>
          <w:szCs w:val="18"/>
        </w:rPr>
        <w:t xml:space="preserve"> </w:t>
      </w:r>
      <w:r w:rsidRPr="00E71B93">
        <w:rPr>
          <w:rFonts w:ascii="Arial" w:hAnsi="Arial" w:cs="Arial"/>
          <w:sz w:val="18"/>
          <w:szCs w:val="18"/>
        </w:rPr>
        <w:t>No cuenta</w:t>
      </w:r>
      <w:r w:rsidR="00DD39A1" w:rsidRPr="00E71B93">
        <w:rPr>
          <w:rFonts w:ascii="Arial" w:hAnsi="Arial" w:cs="Arial"/>
          <w:sz w:val="18"/>
          <w:szCs w:val="18"/>
        </w:rPr>
        <w:t xml:space="preserve"> con un estudio actuarial para revelar estos datos</w:t>
      </w:r>
    </w:p>
    <w:p w14:paraId="2683F1A2" w14:textId="35626E3E" w:rsidR="00DD39A1" w:rsidRPr="00E71B93" w:rsidRDefault="00DD39A1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E3115F4" w14:textId="77777777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Provisiones: Objetivo de su creación, monto y plazo: </w:t>
      </w:r>
    </w:p>
    <w:p w14:paraId="4C241E70" w14:textId="79BDA58A" w:rsidR="00C747DB" w:rsidRPr="00E71B93" w:rsidRDefault="00897861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realizo provisiones en este periodo</w:t>
      </w:r>
    </w:p>
    <w:p w14:paraId="17ABD1F6" w14:textId="77777777" w:rsidR="0012758A" w:rsidRPr="00E71B93" w:rsidRDefault="0012758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0B07EA3" w14:textId="7C3FCC71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Reservas: Objeto de su creación monto y plazo:</w:t>
      </w:r>
    </w:p>
    <w:p w14:paraId="5988E2ED" w14:textId="2810B669" w:rsidR="00FB71EA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El ITESA no cuenta con fondos de contingencia </w:t>
      </w:r>
    </w:p>
    <w:p w14:paraId="78A5D04D" w14:textId="77777777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Cambios en políticas contables y corrección de errores junto con la revelación de los efectos que tendrá en información financiera del ente público, ya sea retrospectivos o prospectivos:</w:t>
      </w:r>
    </w:p>
    <w:p w14:paraId="7AA2DCA2" w14:textId="73768978" w:rsidR="0012758A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ITESA a partir del ejercicio fiscal 2015 presenta la estructura de registro contable y presupuestal normada por el CONAC, así como las guías contabilizadoras, la matriz de conversión y los procesos de registro que de ellas emanan y que han sido aplicadas en SAP.</w:t>
      </w:r>
    </w:p>
    <w:p w14:paraId="2584A599" w14:textId="77777777" w:rsidR="00FB71EA" w:rsidRPr="00E71B93" w:rsidRDefault="00FB71E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8D30934" w14:textId="5C6E0D3C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Reclasificaciones: se deben revelar todos aquellos movimientos entre cuentas por efectos de cambio en los tipos de operaciones.</w:t>
      </w:r>
    </w:p>
    <w:p w14:paraId="40C958D9" w14:textId="5C771DB1" w:rsidR="00911DF7" w:rsidRDefault="00911DF7" w:rsidP="00911DF7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Sin Información que revelar para este periodo</w:t>
      </w:r>
    </w:p>
    <w:p w14:paraId="60BAEC83" w14:textId="7E1035ED" w:rsidR="00E71B93" w:rsidRDefault="00E71B93" w:rsidP="00911DF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EF1CB38" w14:textId="77777777" w:rsidR="00E71B93" w:rsidRPr="00E71B93" w:rsidRDefault="00E71B93" w:rsidP="00911DF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BD2F021" w14:textId="77777777" w:rsidR="00A95E29" w:rsidRPr="00E71B93" w:rsidRDefault="00A95E29" w:rsidP="00A95E29">
      <w:pPr>
        <w:tabs>
          <w:tab w:val="left" w:leader="underscore" w:pos="9639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76DF90A" w14:textId="77777777" w:rsidR="00C747DB" w:rsidRPr="00E71B93" w:rsidRDefault="00C747DB" w:rsidP="00C747D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lastRenderedPageBreak/>
        <w:t xml:space="preserve">Depuración y cancelación de saldos </w:t>
      </w:r>
    </w:p>
    <w:p w14:paraId="304B2304" w14:textId="79FCC15B" w:rsidR="00C747DB" w:rsidRPr="00E71B93" w:rsidRDefault="0012758A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Sin Información que revelar para este periodo</w:t>
      </w:r>
    </w:p>
    <w:p w14:paraId="7092AEE0" w14:textId="77777777" w:rsidR="0012758A" w:rsidRPr="00E71B93" w:rsidRDefault="0012758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D8B3023" w14:textId="77777777" w:rsidR="00C747DB" w:rsidRPr="00E71B93" w:rsidRDefault="00C747DB" w:rsidP="00C747D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Posición en moneda extranjera y posición por riesgo cambiario:</w:t>
      </w:r>
    </w:p>
    <w:p w14:paraId="6FC286D4" w14:textId="77777777" w:rsidR="00C747DB" w:rsidRPr="00E71B93" w:rsidRDefault="00C747DB" w:rsidP="00C747DB">
      <w:pPr>
        <w:pStyle w:val="Prrafodelista"/>
        <w:spacing w:after="0"/>
        <w:ind w:left="1494"/>
        <w:jc w:val="both"/>
        <w:rPr>
          <w:rFonts w:ascii="Arial" w:hAnsi="Arial" w:cs="Arial"/>
          <w:b/>
          <w:sz w:val="18"/>
          <w:szCs w:val="18"/>
        </w:rPr>
      </w:pPr>
    </w:p>
    <w:p w14:paraId="5F7EFA5E" w14:textId="2557C489" w:rsidR="00911DF7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Se </w:t>
      </w:r>
      <w:r w:rsidR="00F74D64" w:rsidRPr="00E71B93">
        <w:rPr>
          <w:rFonts w:ascii="Arial" w:hAnsi="Arial" w:cs="Arial"/>
          <w:sz w:val="18"/>
          <w:szCs w:val="18"/>
        </w:rPr>
        <w:t>informará</w:t>
      </w:r>
      <w:r w:rsidRPr="00E71B93">
        <w:rPr>
          <w:rFonts w:ascii="Arial" w:hAnsi="Arial" w:cs="Arial"/>
          <w:sz w:val="18"/>
          <w:szCs w:val="18"/>
        </w:rPr>
        <w:t xml:space="preserve"> sobre: </w:t>
      </w:r>
    </w:p>
    <w:p w14:paraId="740116F4" w14:textId="77777777" w:rsidR="00C747DB" w:rsidRPr="00E71B93" w:rsidRDefault="00C747DB" w:rsidP="00C747D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Activos en moneda extranjera:</w:t>
      </w:r>
    </w:p>
    <w:p w14:paraId="68DA8194" w14:textId="4517FFA5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tiene activos registrados en moneda extranjera</w:t>
      </w:r>
    </w:p>
    <w:p w14:paraId="44B74039" w14:textId="77777777" w:rsidR="0012758A" w:rsidRPr="00E71B93" w:rsidRDefault="0012758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1A9FD2F" w14:textId="77777777" w:rsidR="00C747DB" w:rsidRPr="00E71B93" w:rsidRDefault="00C747DB" w:rsidP="00C747D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Pasivos en moneda extranjera:</w:t>
      </w:r>
    </w:p>
    <w:p w14:paraId="1162B591" w14:textId="32536B81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El ITESA no tiene </w:t>
      </w:r>
      <w:r w:rsidR="00274C25" w:rsidRPr="00E71B93">
        <w:rPr>
          <w:rFonts w:ascii="Arial" w:hAnsi="Arial" w:cs="Arial"/>
          <w:sz w:val="18"/>
          <w:szCs w:val="18"/>
        </w:rPr>
        <w:t>pas</w:t>
      </w:r>
      <w:r w:rsidRPr="00E71B93">
        <w:rPr>
          <w:rFonts w:ascii="Arial" w:hAnsi="Arial" w:cs="Arial"/>
          <w:sz w:val="18"/>
          <w:szCs w:val="18"/>
        </w:rPr>
        <w:t>ivos registrados en moneda extranjera</w:t>
      </w:r>
    </w:p>
    <w:p w14:paraId="1B005622" w14:textId="77777777" w:rsidR="0012758A" w:rsidRPr="00E71B93" w:rsidRDefault="0012758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DC25B7" w14:textId="77777777" w:rsidR="00C747DB" w:rsidRPr="00E71B93" w:rsidRDefault="00C747DB" w:rsidP="00C747D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Posición en moneda extranjera:</w:t>
      </w:r>
    </w:p>
    <w:p w14:paraId="311C8079" w14:textId="42B45EBA" w:rsidR="0012758A" w:rsidRPr="00E71B93" w:rsidRDefault="001B4ACC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registra operaciones en moneda extranjera</w:t>
      </w:r>
    </w:p>
    <w:p w14:paraId="7B5CBB78" w14:textId="77777777" w:rsidR="001B4ACC" w:rsidRPr="00E71B93" w:rsidRDefault="001B4ACC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F63F45" w14:textId="77777777" w:rsidR="00C747DB" w:rsidRPr="00E71B93" w:rsidRDefault="00C747DB" w:rsidP="00C747D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Tipo de cambio en moneda extranjera:</w:t>
      </w:r>
    </w:p>
    <w:p w14:paraId="285B551C" w14:textId="243BA3BF" w:rsidR="0012758A" w:rsidRPr="00E71B93" w:rsidRDefault="001B4ACC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registra operaciones en moneda extranjera</w:t>
      </w:r>
    </w:p>
    <w:p w14:paraId="7A457E0A" w14:textId="77777777" w:rsidR="00C747DB" w:rsidRPr="00E71B93" w:rsidRDefault="00C747DB" w:rsidP="00C747D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Equivalente en moneda nacional </w:t>
      </w:r>
    </w:p>
    <w:p w14:paraId="5A4ADF72" w14:textId="77777777" w:rsidR="00274C25" w:rsidRPr="00E71B93" w:rsidRDefault="00274C25" w:rsidP="00274C25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registra operaciones en moneda extranjera</w:t>
      </w:r>
    </w:p>
    <w:p w14:paraId="4B79E042" w14:textId="77777777" w:rsidR="00761783" w:rsidRPr="00E71B93" w:rsidRDefault="0076178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55F84B" w14:textId="77777777" w:rsidR="00C747DB" w:rsidRPr="00E71B93" w:rsidRDefault="00C747DB" w:rsidP="00C747D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Reporte analítico del activo: </w:t>
      </w:r>
    </w:p>
    <w:p w14:paraId="3223396D" w14:textId="77777777" w:rsidR="00C747DB" w:rsidRPr="00E71B93" w:rsidRDefault="00C747DB" w:rsidP="00C747DB">
      <w:pPr>
        <w:pStyle w:val="Prrafodelista"/>
        <w:spacing w:after="0"/>
        <w:ind w:left="1494"/>
        <w:jc w:val="both"/>
        <w:rPr>
          <w:rFonts w:ascii="Arial" w:hAnsi="Arial" w:cs="Arial"/>
          <w:b/>
          <w:sz w:val="18"/>
          <w:szCs w:val="18"/>
        </w:rPr>
      </w:pPr>
    </w:p>
    <w:p w14:paraId="0C5EDED2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Debe mostrar la siguiente información:</w:t>
      </w:r>
    </w:p>
    <w:p w14:paraId="2E96D80F" w14:textId="77777777" w:rsidR="00C747DB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Vida útil o % de depreciación, deterioro o amortización utilizados en los diferentes tipos de activos:</w:t>
      </w:r>
    </w:p>
    <w:p w14:paraId="1719E8F3" w14:textId="5124DB29" w:rsidR="00634CE0" w:rsidRPr="00E71B93" w:rsidRDefault="00634CE0" w:rsidP="00634CE0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aplica los porcentajes de depreciación a los Activos Fijos establecidos en el SIHP. Sistema administrado por el Poder Ejecutivo del Estado.</w:t>
      </w:r>
    </w:p>
    <w:p w14:paraId="000A62F0" w14:textId="77777777" w:rsidR="0012758A" w:rsidRPr="00E71B93" w:rsidRDefault="0012758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734AC8E" w14:textId="0D969399" w:rsidR="0012758A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Cambios en el % de depreciación o valor residual de los activos:</w:t>
      </w:r>
    </w:p>
    <w:p w14:paraId="3A15D07A" w14:textId="64A90FD9" w:rsidR="00634CE0" w:rsidRPr="00E71B93" w:rsidRDefault="00634CE0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De conformidad con la norma de CONAC y los alcances del SIHP, actualmente sólo pueden considerarse las 40 clases de activos vigentes.</w:t>
      </w:r>
    </w:p>
    <w:p w14:paraId="44D1EBAC" w14:textId="77777777" w:rsidR="00634CE0" w:rsidRPr="00E71B93" w:rsidRDefault="00634CE0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F24F694" w14:textId="77777777" w:rsidR="00C747DB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Importe de los gastos capitalizados en el ejercicio, tanto financieros como de investigación y desarrollo:</w:t>
      </w:r>
    </w:p>
    <w:p w14:paraId="4814757D" w14:textId="111F5A00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No aplica</w:t>
      </w:r>
    </w:p>
    <w:p w14:paraId="7ACC676C" w14:textId="77777777" w:rsidR="00274C25" w:rsidRPr="00E71B93" w:rsidRDefault="00274C25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3EC21A3" w14:textId="77777777" w:rsidR="00C747DB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Riesgo por tipo de cambio o tipo de interés en las inversiones financieras </w:t>
      </w:r>
    </w:p>
    <w:p w14:paraId="24D35344" w14:textId="791DF3C1" w:rsidR="00C747DB" w:rsidRPr="00E71B93" w:rsidRDefault="001A6F9C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cuenta con inversiones financieras</w:t>
      </w:r>
    </w:p>
    <w:p w14:paraId="5A2E2481" w14:textId="77777777" w:rsidR="00C01D16" w:rsidRPr="00E71B93" w:rsidRDefault="00C01D16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73B49AC" w14:textId="77777777" w:rsidR="00C747DB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Valor activado en el ejercicio de los bienes construidos por la entidad </w:t>
      </w:r>
    </w:p>
    <w:p w14:paraId="78861908" w14:textId="444AF848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No a</w:t>
      </w:r>
      <w:r w:rsidRPr="00E71B93">
        <w:rPr>
          <w:rFonts w:ascii="Arial" w:hAnsi="Arial" w:cs="Arial"/>
          <w:b/>
          <w:bCs/>
          <w:sz w:val="18"/>
          <w:szCs w:val="18"/>
        </w:rPr>
        <w:t>plica</w:t>
      </w:r>
    </w:p>
    <w:p w14:paraId="4AFCD896" w14:textId="77777777" w:rsidR="00A95E29" w:rsidRPr="00E71B93" w:rsidRDefault="00A95E29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B7B4809" w14:textId="2377226E" w:rsidR="00C747DB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lastRenderedPageBreak/>
        <w:t xml:space="preserve">Otras circunstancias de carácter significativo que afecten el activo, teles como bienes en garantía, señalados en embargos litigios, títulos de inversiones entregadas en garantía, baja significativa del valor de inversiones </w:t>
      </w:r>
      <w:r w:rsidR="001A6F9C" w:rsidRPr="00E71B93">
        <w:rPr>
          <w:rFonts w:ascii="Arial" w:hAnsi="Arial" w:cs="Arial"/>
          <w:b/>
          <w:sz w:val="18"/>
          <w:szCs w:val="18"/>
        </w:rPr>
        <w:t>financieras,</w:t>
      </w:r>
    </w:p>
    <w:p w14:paraId="21655805" w14:textId="610DDB9D" w:rsidR="001B4ACC" w:rsidRPr="00E71B93" w:rsidRDefault="001B4ACC" w:rsidP="00C747DB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E71B93">
        <w:rPr>
          <w:rFonts w:ascii="Arial" w:hAnsi="Arial" w:cs="Arial"/>
          <w:color w:val="000000"/>
          <w:sz w:val="18"/>
          <w:szCs w:val="18"/>
        </w:rPr>
        <w:t>Sin información que revelar</w:t>
      </w:r>
      <w:r w:rsidR="001A6F9C" w:rsidRPr="00E71B93">
        <w:rPr>
          <w:rFonts w:ascii="Arial" w:hAnsi="Arial" w:cs="Arial"/>
          <w:color w:val="000000"/>
          <w:sz w:val="18"/>
          <w:szCs w:val="18"/>
        </w:rPr>
        <w:t xml:space="preserve"> para este periodo</w:t>
      </w:r>
    </w:p>
    <w:p w14:paraId="6BAF102A" w14:textId="77777777" w:rsidR="00A95E29" w:rsidRPr="00E71B93" w:rsidRDefault="00A95E29" w:rsidP="00C747DB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8802CB6" w14:textId="77777777" w:rsidR="00C747DB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Desmantelamiento de activos, procedimientos, implicaciones, efectos contables: </w:t>
      </w:r>
    </w:p>
    <w:p w14:paraId="384007BA" w14:textId="011C5C39" w:rsidR="00C747DB" w:rsidRPr="00E71B93" w:rsidRDefault="001B4ACC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Sin Información que revelar</w:t>
      </w:r>
      <w:r w:rsidR="001A6F9C" w:rsidRPr="00E71B93">
        <w:rPr>
          <w:rFonts w:ascii="Arial" w:hAnsi="Arial" w:cs="Arial"/>
          <w:sz w:val="18"/>
          <w:szCs w:val="18"/>
        </w:rPr>
        <w:t xml:space="preserve"> para este periodo</w:t>
      </w:r>
    </w:p>
    <w:p w14:paraId="16B2A489" w14:textId="77777777" w:rsidR="001B4ACC" w:rsidRPr="00E71B93" w:rsidRDefault="001B4ACC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B753A99" w14:textId="6A1788B9" w:rsidR="00C747DB" w:rsidRPr="00E71B93" w:rsidRDefault="00C747DB" w:rsidP="00C747D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 xml:space="preserve">Administración de activos; planeación con el objetivo de que el ente los utilice de manera más efectiva: </w:t>
      </w:r>
    </w:p>
    <w:p w14:paraId="2B55B2C2" w14:textId="49504EB9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ITESA</w:t>
      </w:r>
      <w:r w:rsidR="001A6F9C" w:rsidRPr="00E71B93">
        <w:rPr>
          <w:rFonts w:ascii="Arial" w:hAnsi="Arial" w:cs="Arial"/>
          <w:sz w:val="18"/>
          <w:szCs w:val="18"/>
        </w:rPr>
        <w:t xml:space="preserve"> dentro del sistema de Gestión de Calidad Documenta Instrucciones de Operación para realizar mantenimientos preventivos al equipamiento y la infraestructura </w:t>
      </w:r>
      <w:r w:rsidR="005C019E" w:rsidRPr="00E71B93">
        <w:rPr>
          <w:rFonts w:ascii="Arial" w:hAnsi="Arial" w:cs="Arial"/>
          <w:sz w:val="18"/>
          <w:szCs w:val="18"/>
        </w:rPr>
        <w:t>durante el año</w:t>
      </w:r>
    </w:p>
    <w:p w14:paraId="11B798A4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B678F17" w14:textId="04A00BC2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Adicionalmente, se deben incluir las explicaciones de las principales variaciones en el activo en cuadros comparativos como sigue:</w:t>
      </w:r>
    </w:p>
    <w:p w14:paraId="32C8D1FC" w14:textId="77777777" w:rsidR="00FB71EA" w:rsidRPr="00E71B93" w:rsidRDefault="00FB71E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EE93215" w14:textId="77777777" w:rsidR="00C747DB" w:rsidRPr="00E71B93" w:rsidRDefault="00C747DB" w:rsidP="00C747D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Inversiones en valores</w:t>
      </w:r>
    </w:p>
    <w:p w14:paraId="21D851CA" w14:textId="1D9D284F" w:rsidR="005C019E" w:rsidRPr="00E71B93" w:rsidRDefault="005C019E" w:rsidP="005C019E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ITESA no tiene con inversiones en valores</w:t>
      </w:r>
    </w:p>
    <w:p w14:paraId="5E1A6F45" w14:textId="77777777" w:rsidR="001B4ACC" w:rsidRPr="00E71B93" w:rsidRDefault="001B4ACC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CCAB244" w14:textId="77777777" w:rsidR="00C747DB" w:rsidRPr="00E71B93" w:rsidRDefault="00C747DB" w:rsidP="00C747D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Patrimonio de Organismos Descentralizados de Control Presupuestario Indirecto</w:t>
      </w:r>
    </w:p>
    <w:p w14:paraId="189F5AFA" w14:textId="56E9F0C3" w:rsidR="001B4ACC" w:rsidRPr="00E71B93" w:rsidRDefault="005C019E" w:rsidP="001B4ACC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No aplica</w:t>
      </w:r>
    </w:p>
    <w:p w14:paraId="1E334D24" w14:textId="77777777" w:rsidR="001B4ACC" w:rsidRPr="00E71B93" w:rsidRDefault="001B4ACC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C7ACAF2" w14:textId="77777777" w:rsidR="00C747DB" w:rsidRPr="00E71B93" w:rsidRDefault="00C747DB" w:rsidP="00C747D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Inversiones en empresas de participación mayoritaria:</w:t>
      </w:r>
    </w:p>
    <w:p w14:paraId="77F5CD5F" w14:textId="5F921772" w:rsidR="005C019E" w:rsidRPr="00E71B93" w:rsidRDefault="005C019E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No aplica</w:t>
      </w:r>
    </w:p>
    <w:p w14:paraId="7DBD7918" w14:textId="77777777" w:rsidR="00C747DB" w:rsidRPr="00E71B93" w:rsidRDefault="00C747DB" w:rsidP="00C747D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Inversiones en empresas de participación minoritaria</w:t>
      </w:r>
    </w:p>
    <w:p w14:paraId="0777BDC6" w14:textId="331B9430" w:rsidR="001B4ACC" w:rsidRPr="00E71B93" w:rsidRDefault="005C019E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No aplica</w:t>
      </w:r>
    </w:p>
    <w:p w14:paraId="4AEE9C53" w14:textId="77777777" w:rsidR="00C747DB" w:rsidRPr="00E71B93" w:rsidRDefault="00C747DB" w:rsidP="00C747D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Patrimonio de organismos descentralizados de control presupuestario directo, según corresponda:</w:t>
      </w:r>
    </w:p>
    <w:p w14:paraId="2F9C6514" w14:textId="5CC229A5" w:rsidR="001B4ACC" w:rsidRPr="00E71B93" w:rsidRDefault="005C019E" w:rsidP="001B4ACC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No aplica</w:t>
      </w:r>
    </w:p>
    <w:p w14:paraId="17273E2A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7888542" w14:textId="77777777" w:rsidR="00C747DB" w:rsidRPr="00E71B93" w:rsidRDefault="00C747DB" w:rsidP="00C747D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Fideicomisos, Mandatos y Análogos</w:t>
      </w:r>
    </w:p>
    <w:p w14:paraId="2B6D1111" w14:textId="77777777" w:rsidR="00C747DB" w:rsidRPr="00E71B93" w:rsidRDefault="00C747DB" w:rsidP="00C747DB">
      <w:pPr>
        <w:pStyle w:val="Prrafodelista"/>
        <w:spacing w:after="0"/>
        <w:ind w:left="1494"/>
        <w:jc w:val="both"/>
        <w:rPr>
          <w:rFonts w:ascii="Arial" w:hAnsi="Arial" w:cs="Arial"/>
          <w:b/>
          <w:sz w:val="18"/>
          <w:szCs w:val="18"/>
        </w:rPr>
      </w:pPr>
    </w:p>
    <w:p w14:paraId="123475B9" w14:textId="77777777" w:rsidR="00C747DB" w:rsidRPr="00E71B93" w:rsidRDefault="00C747DB" w:rsidP="00C747D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Por el ramo administrativo que los reporta:</w:t>
      </w:r>
    </w:p>
    <w:p w14:paraId="481633C4" w14:textId="52BECA0B" w:rsidR="00C747DB" w:rsidRPr="00E71B93" w:rsidRDefault="00027B43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sz w:val="18"/>
          <w:szCs w:val="18"/>
        </w:rPr>
        <w:t>El Instituto Tecnologico Superior de Abasolo</w:t>
      </w:r>
      <w:r w:rsidRPr="00E71B93">
        <w:rPr>
          <w:rFonts w:ascii="Arial" w:hAnsi="Arial" w:cs="Arial"/>
          <w:sz w:val="18"/>
          <w:szCs w:val="18"/>
        </w:rPr>
        <w:t xml:space="preserve"> no cuenta con fideicomisos</w:t>
      </w:r>
    </w:p>
    <w:p w14:paraId="7C59F769" w14:textId="77777777" w:rsidR="00027B43" w:rsidRPr="00E71B93" w:rsidRDefault="00027B4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6CCBB67" w14:textId="77777777" w:rsidR="00C747DB" w:rsidRPr="00E71B93" w:rsidRDefault="00C747DB" w:rsidP="00C747D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Enlistar los de mayor monto de disponibilidad, relacionando aquellos que conforman el 80% de las disponibilidades:</w:t>
      </w:r>
    </w:p>
    <w:p w14:paraId="463BB603" w14:textId="5688F512" w:rsidR="00440C4A" w:rsidRPr="00E71B93" w:rsidRDefault="005C019E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sz w:val="18"/>
          <w:szCs w:val="18"/>
        </w:rPr>
        <w:t>No aplica</w:t>
      </w:r>
    </w:p>
    <w:p w14:paraId="5B086987" w14:textId="2D0E0294" w:rsidR="00440C4A" w:rsidRDefault="00440C4A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D85BC70" w14:textId="5E9AD1E7" w:rsidR="00E71B93" w:rsidRDefault="00E71B9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473741D" w14:textId="0C3A7DA4" w:rsidR="00E71B93" w:rsidRDefault="00E71B9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AF2AEDB" w14:textId="0B2ADCD5" w:rsidR="00E71B93" w:rsidRDefault="00E71B9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6667F9F" w14:textId="77777777" w:rsidR="00E71B93" w:rsidRPr="00E71B93" w:rsidRDefault="00E71B93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6E07084" w14:textId="77777777" w:rsidR="00C747DB" w:rsidRPr="00E71B93" w:rsidRDefault="00C747DB" w:rsidP="00C747D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lastRenderedPageBreak/>
        <w:t xml:space="preserve">Reporte de recaudación: </w:t>
      </w:r>
    </w:p>
    <w:p w14:paraId="0B494AD4" w14:textId="77777777" w:rsidR="00C747DB" w:rsidRPr="00E71B93" w:rsidRDefault="00C747DB" w:rsidP="00C747DB">
      <w:pPr>
        <w:pStyle w:val="Prrafodelista"/>
        <w:spacing w:after="0"/>
        <w:ind w:left="1494"/>
        <w:jc w:val="both"/>
        <w:rPr>
          <w:rFonts w:ascii="Arial" w:hAnsi="Arial" w:cs="Arial"/>
          <w:b/>
          <w:sz w:val="18"/>
          <w:szCs w:val="18"/>
        </w:rPr>
      </w:pPr>
    </w:p>
    <w:p w14:paraId="15C85673" w14:textId="1616723F" w:rsidR="00C747DB" w:rsidRPr="00E71B93" w:rsidRDefault="00C747DB" w:rsidP="00C747DB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Análisis de comportamiento de la recaudación correspondiente al ente público o cualquier tipo de ingreso, de forma separada los ingresos locales de los federales:</w:t>
      </w:r>
    </w:p>
    <w:p w14:paraId="002B7780" w14:textId="4410B5CD" w:rsidR="00027B43" w:rsidRPr="00E71B93" w:rsidRDefault="00027B43" w:rsidP="00027B4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7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0"/>
        <w:gridCol w:w="1506"/>
      </w:tblGrid>
      <w:tr w:rsidR="00937392" w:rsidRPr="00937392" w14:paraId="105AABB1" w14:textId="77777777" w:rsidTr="00E44CC7">
        <w:trPr>
          <w:trHeight w:val="522"/>
        </w:trPr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06C9345" w14:textId="77777777" w:rsidR="00937392" w:rsidRPr="00937392" w:rsidRDefault="00937392" w:rsidP="00937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93739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INSTITUTO TECNOLÓGICO SUPERIOR DE ABASOLO</w:t>
            </w:r>
            <w:r w:rsidRPr="0093739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br/>
              <w:t>Reporte de recaudación</w:t>
            </w:r>
            <w:r w:rsidRPr="0093739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br/>
              <w:t xml:space="preserve">Del 01 de </w:t>
            </w:r>
            <w:proofErr w:type="gramStart"/>
            <w:r w:rsidRPr="0093739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Enero</w:t>
            </w:r>
            <w:proofErr w:type="gramEnd"/>
            <w:r w:rsidRPr="0093739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 al 31 de Marzo de 2024</w:t>
            </w:r>
          </w:p>
        </w:tc>
      </w:tr>
      <w:tr w:rsidR="00937392" w:rsidRPr="00937392" w14:paraId="57D0928D" w14:textId="77777777" w:rsidTr="00E44CC7">
        <w:trPr>
          <w:trHeight w:val="326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794EE4" w14:textId="77777777" w:rsidR="00937392" w:rsidRPr="00937392" w:rsidRDefault="00937392" w:rsidP="00937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93739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Rubro de Ingresos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D42D0A" w14:textId="77777777" w:rsidR="00937392" w:rsidRPr="00937392" w:rsidRDefault="00937392" w:rsidP="00937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93739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Recaudado</w:t>
            </w:r>
          </w:p>
        </w:tc>
      </w:tr>
      <w:tr w:rsidR="00937392" w:rsidRPr="00937392" w14:paraId="00A3D805" w14:textId="77777777" w:rsidTr="00E44CC7">
        <w:trPr>
          <w:trHeight w:val="147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2038" w14:textId="77777777" w:rsidR="00937392" w:rsidRPr="00937392" w:rsidRDefault="00937392" w:rsidP="00937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937392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Ingresos por Venta de Bienes, Prestación de Servicios y Otros Ingresos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480991" w14:textId="77777777" w:rsidR="00937392" w:rsidRPr="00937392" w:rsidRDefault="00937392" w:rsidP="009373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937392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2,673,072.95</w:t>
            </w:r>
          </w:p>
        </w:tc>
      </w:tr>
      <w:tr w:rsidR="00937392" w:rsidRPr="00937392" w14:paraId="112562A1" w14:textId="77777777" w:rsidTr="00E44CC7">
        <w:trPr>
          <w:trHeight w:val="294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F137" w14:textId="77777777" w:rsidR="00937392" w:rsidRPr="00937392" w:rsidRDefault="00937392" w:rsidP="00937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937392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Participaciones, Aportaciones, Convenios, Incentivos de Derivados de la Colaboración Fiscal y Fondos Distintos de Aportaciones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83B5" w14:textId="77777777" w:rsidR="00937392" w:rsidRPr="00937392" w:rsidRDefault="00937392" w:rsidP="009373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937392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6,896,339.13</w:t>
            </w:r>
          </w:p>
        </w:tc>
      </w:tr>
      <w:tr w:rsidR="00937392" w:rsidRPr="00937392" w14:paraId="2AC59A23" w14:textId="77777777" w:rsidTr="00E44CC7">
        <w:trPr>
          <w:trHeight w:val="147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683B" w14:textId="77777777" w:rsidR="00937392" w:rsidRPr="00937392" w:rsidRDefault="00937392" w:rsidP="00937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937392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Transferencias, Asignaciones, Subsidios y Subvenciones, y Pensiones y Jubilaciones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C884C" w14:textId="77777777" w:rsidR="00937392" w:rsidRPr="00937392" w:rsidRDefault="00937392" w:rsidP="009373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937392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7,090,694.50</w:t>
            </w:r>
          </w:p>
        </w:tc>
      </w:tr>
      <w:tr w:rsidR="00937392" w:rsidRPr="00937392" w14:paraId="65110060" w14:textId="77777777" w:rsidTr="00E44CC7">
        <w:trPr>
          <w:trHeight w:val="147"/>
        </w:trPr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6F1F9" w14:textId="77777777" w:rsidR="00937392" w:rsidRPr="00937392" w:rsidRDefault="00937392" w:rsidP="00937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93739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Totales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DE5AC" w14:textId="77777777" w:rsidR="00937392" w:rsidRPr="00937392" w:rsidRDefault="00937392" w:rsidP="00937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3739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16,660,106.58</w:t>
            </w:r>
          </w:p>
        </w:tc>
      </w:tr>
    </w:tbl>
    <w:p w14:paraId="116FECBB" w14:textId="77777777" w:rsidR="00A95E29" w:rsidRPr="00E71B93" w:rsidRDefault="00A95E29" w:rsidP="005C01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43DD5CD" w14:textId="77777777" w:rsidR="00C03D0B" w:rsidRPr="00E71B93" w:rsidRDefault="00C03D0B" w:rsidP="00C03D0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Información sobre la deuda y el reporte Analítico de la Deuda:</w:t>
      </w:r>
    </w:p>
    <w:p w14:paraId="63400179" w14:textId="77777777" w:rsidR="00C03D0B" w:rsidRPr="00E71B93" w:rsidRDefault="00C03D0B" w:rsidP="00C03D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El Instituto Tecnologico Superior de Abasolo no tiene deuda</w:t>
      </w:r>
    </w:p>
    <w:p w14:paraId="29855D4B" w14:textId="77777777" w:rsidR="00C03D0B" w:rsidRPr="00E71B93" w:rsidRDefault="00C03D0B" w:rsidP="00C03D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C58D405" w14:textId="77777777" w:rsidR="00C03D0B" w:rsidRPr="00E71B93" w:rsidRDefault="00C03D0B" w:rsidP="00C03D0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Calificaciones otorgadas</w:t>
      </w:r>
    </w:p>
    <w:p w14:paraId="4E9D53FF" w14:textId="53FE3639" w:rsidR="00E71B93" w:rsidRDefault="000E5A57" w:rsidP="00E71B93">
      <w:pPr>
        <w:pStyle w:val="Texto"/>
        <w:spacing w:after="0"/>
        <w:ind w:firstLine="0"/>
        <w:rPr>
          <w:szCs w:val="18"/>
        </w:rPr>
      </w:pPr>
      <w:r w:rsidRPr="00E71B93">
        <w:rPr>
          <w:szCs w:val="18"/>
        </w:rPr>
        <w:t>No aplica</w:t>
      </w:r>
      <w:r w:rsidR="00C03D0B" w:rsidRPr="00E71B93">
        <w:rPr>
          <w:szCs w:val="18"/>
        </w:rPr>
        <w:t>.</w:t>
      </w:r>
    </w:p>
    <w:p w14:paraId="5A730B76" w14:textId="77777777" w:rsidR="00E71B93" w:rsidRPr="00E71B93" w:rsidRDefault="00E71B93" w:rsidP="00E71B93">
      <w:pPr>
        <w:pStyle w:val="Texto"/>
        <w:spacing w:after="0"/>
        <w:ind w:firstLine="0"/>
        <w:rPr>
          <w:szCs w:val="18"/>
        </w:rPr>
      </w:pPr>
    </w:p>
    <w:p w14:paraId="5A213B54" w14:textId="77777777" w:rsidR="00C03D0B" w:rsidRPr="00E71B93" w:rsidRDefault="00C03D0B" w:rsidP="00C03D0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Proceso de mejora:</w:t>
      </w:r>
    </w:p>
    <w:p w14:paraId="47EDF203" w14:textId="77777777" w:rsidR="00C03D0B" w:rsidRPr="00E71B93" w:rsidRDefault="00C03D0B" w:rsidP="00C03D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Se informará de:</w:t>
      </w:r>
    </w:p>
    <w:p w14:paraId="0E6A3788" w14:textId="77777777" w:rsidR="00C03D0B" w:rsidRPr="00E71B93" w:rsidRDefault="00C03D0B" w:rsidP="00C03D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BE1191A" w14:textId="77777777" w:rsidR="00C03D0B" w:rsidRPr="00E71B93" w:rsidRDefault="00C03D0B" w:rsidP="00C03D0B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Políticas de control interno</w:t>
      </w:r>
    </w:p>
    <w:p w14:paraId="258CB2DE" w14:textId="4B60ED49" w:rsidR="00C03D0B" w:rsidRPr="00E71B93" w:rsidRDefault="00C03D0B" w:rsidP="00C03D0B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E71B93">
        <w:rPr>
          <w:rFonts w:ascii="Arial" w:hAnsi="Arial" w:cs="Arial"/>
          <w:bCs/>
          <w:sz w:val="18"/>
          <w:szCs w:val="18"/>
        </w:rPr>
        <w:t xml:space="preserve">El instituto cuenta con un comité de control interno, que está integrado por las direcciones de área y recursos humanos </w:t>
      </w:r>
    </w:p>
    <w:p w14:paraId="21B6BFDF" w14:textId="77777777" w:rsidR="00C03D0B" w:rsidRPr="00E71B93" w:rsidRDefault="00C03D0B" w:rsidP="00C03D0B">
      <w:pPr>
        <w:spacing w:after="0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7AEBA3F4" w14:textId="77777777" w:rsidR="00C03D0B" w:rsidRPr="00E71B93" w:rsidRDefault="00C03D0B" w:rsidP="00C03D0B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1B93">
        <w:rPr>
          <w:rFonts w:ascii="Arial" w:hAnsi="Arial" w:cs="Arial"/>
          <w:b/>
          <w:sz w:val="18"/>
          <w:szCs w:val="18"/>
        </w:rPr>
        <w:t>Medidas de desempeño metas y alcance</w:t>
      </w:r>
    </w:p>
    <w:p w14:paraId="3CFDAE98" w14:textId="5BCA4424" w:rsidR="00C03D0B" w:rsidRPr="00E71B93" w:rsidRDefault="00C03D0B" w:rsidP="00C03D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Se cuenta con un tablero de control donde se establecen metas e indicadores para cada ciclo escolar</w:t>
      </w:r>
      <w:r w:rsidR="007E6D47" w:rsidRPr="00E71B93">
        <w:rPr>
          <w:rFonts w:ascii="Arial" w:hAnsi="Arial" w:cs="Arial"/>
          <w:sz w:val="18"/>
          <w:szCs w:val="18"/>
        </w:rPr>
        <w:t>; adicional se reportan en el SED (Sistema de Evaluación al Desempeño) los avances de las metas e indicadores relacionados al presupuesto asignado para este ejercicio 202</w:t>
      </w:r>
      <w:r w:rsidR="007F6452">
        <w:rPr>
          <w:rFonts w:ascii="Arial" w:hAnsi="Arial" w:cs="Arial"/>
          <w:sz w:val="18"/>
          <w:szCs w:val="18"/>
        </w:rPr>
        <w:t>4</w:t>
      </w:r>
      <w:r w:rsidR="007E6D47" w:rsidRPr="00E71B93">
        <w:rPr>
          <w:rFonts w:ascii="Arial" w:hAnsi="Arial" w:cs="Arial"/>
          <w:sz w:val="18"/>
          <w:szCs w:val="18"/>
        </w:rPr>
        <w:t>.</w:t>
      </w:r>
    </w:p>
    <w:p w14:paraId="6B1FC6DF" w14:textId="77777777" w:rsidR="00C03D0B" w:rsidRPr="00E71B93" w:rsidRDefault="00C03D0B" w:rsidP="00C03D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D1D480E" w14:textId="3588A967" w:rsidR="00C03D0B" w:rsidRPr="00E71B93" w:rsidRDefault="00C03D0B" w:rsidP="00E44CC7">
      <w:pPr>
        <w:pStyle w:val="Texto"/>
        <w:numPr>
          <w:ilvl w:val="0"/>
          <w:numId w:val="1"/>
        </w:numPr>
        <w:spacing w:after="120"/>
        <w:rPr>
          <w:b/>
          <w:szCs w:val="18"/>
        </w:rPr>
      </w:pPr>
      <w:r w:rsidRPr="00E71B93">
        <w:rPr>
          <w:b/>
          <w:szCs w:val="18"/>
        </w:rPr>
        <w:t>Información por Segmentos</w:t>
      </w:r>
    </w:p>
    <w:p w14:paraId="1B1E375D" w14:textId="04AC4A5D" w:rsidR="00022CBB" w:rsidRPr="00E71B93" w:rsidRDefault="00C03D0B" w:rsidP="00E71B93">
      <w:pPr>
        <w:pStyle w:val="Texto"/>
        <w:spacing w:after="120"/>
        <w:ind w:firstLine="289"/>
        <w:rPr>
          <w:szCs w:val="18"/>
        </w:rPr>
      </w:pPr>
      <w:r w:rsidRPr="00E71B93">
        <w:rPr>
          <w:szCs w:val="18"/>
        </w:rPr>
        <w:t>El Instituto Tecnologico Superior de Abasolo cuando lo considere necesario  podrá revelar la información financiera de manera segmentada debido a la diversidad de las actividades y operaciones que realizan, ya que la misma proporciona información acerca de las diferentes actividades operativas en las cuales participa, de los productos o servicios que maneja, de las diferentes áreas geográficas, de los grupos homogéneos con el objetivo de entender el desempeño del ente, evaluar mejor los riesgos y beneficios del mismo, y entenderlo como un todo y sus partes integrantes.</w:t>
      </w:r>
    </w:p>
    <w:p w14:paraId="5C617EF1" w14:textId="396F7AA0" w:rsidR="00E71B93" w:rsidRDefault="00E71B93" w:rsidP="00C03D0B">
      <w:pPr>
        <w:pStyle w:val="Texto"/>
        <w:spacing w:after="120"/>
        <w:rPr>
          <w:szCs w:val="18"/>
        </w:rPr>
      </w:pPr>
    </w:p>
    <w:p w14:paraId="04C019E8" w14:textId="77777777" w:rsidR="00E44CC7" w:rsidRDefault="00E44CC7" w:rsidP="00C03D0B">
      <w:pPr>
        <w:pStyle w:val="Texto"/>
        <w:spacing w:after="120"/>
        <w:rPr>
          <w:szCs w:val="18"/>
        </w:rPr>
      </w:pPr>
    </w:p>
    <w:p w14:paraId="7ACF3AD5" w14:textId="23786258" w:rsidR="00C03D0B" w:rsidRPr="00E71B93" w:rsidRDefault="00C03D0B" w:rsidP="00C03D0B">
      <w:pPr>
        <w:pStyle w:val="Texto"/>
        <w:spacing w:after="120"/>
        <w:rPr>
          <w:szCs w:val="18"/>
        </w:rPr>
      </w:pPr>
      <w:r w:rsidRPr="00E71B93">
        <w:rPr>
          <w:szCs w:val="18"/>
        </w:rPr>
        <w:lastRenderedPageBreak/>
        <w:t>Consecuentemente, esta información contribuye al análisis más preciso de la situación financiera, grados y fuentes de riesgo y crecimiento potencial del ente.</w:t>
      </w:r>
    </w:p>
    <w:p w14:paraId="58373E9A" w14:textId="63EE5373" w:rsidR="00440C4A" w:rsidRDefault="00C03D0B" w:rsidP="00E642D9">
      <w:pPr>
        <w:pStyle w:val="Texto"/>
        <w:spacing w:after="120"/>
        <w:ind w:firstLine="289"/>
        <w:rPr>
          <w:szCs w:val="18"/>
        </w:rPr>
      </w:pPr>
      <w:r w:rsidRPr="00E71B93">
        <w:rPr>
          <w:szCs w:val="18"/>
        </w:rPr>
        <w:t>Por ahora No se considera necesario presentar información financiera segmentada, adicional a la que se proporciona en los Estados Financieros.</w:t>
      </w:r>
    </w:p>
    <w:p w14:paraId="6338A608" w14:textId="6ABAC373" w:rsidR="00C03D0B" w:rsidRPr="00E71B93" w:rsidRDefault="00C03D0B" w:rsidP="00E44CC7">
      <w:pPr>
        <w:pStyle w:val="Texto"/>
        <w:numPr>
          <w:ilvl w:val="0"/>
          <w:numId w:val="1"/>
        </w:numPr>
        <w:spacing w:after="120"/>
        <w:rPr>
          <w:b/>
          <w:szCs w:val="18"/>
        </w:rPr>
      </w:pPr>
      <w:r w:rsidRPr="00E71B93">
        <w:rPr>
          <w:b/>
          <w:szCs w:val="18"/>
        </w:rPr>
        <w:t>Eventos Posteriores al Cierre</w:t>
      </w:r>
    </w:p>
    <w:p w14:paraId="0F465AD3" w14:textId="03985DFC" w:rsidR="00C03D0B" w:rsidRPr="00E71B93" w:rsidRDefault="00C03D0B" w:rsidP="00C03D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En el Instituto Tecnologico Superior de Abasolo informará Posterior al cierre del ejercicio en caso de presentarse situaciones futuras relevantes que afecten económica y financieramente y que no se conocían a la fecha de cierre y de manera responsable e institucional, se procederá a su atención.</w:t>
      </w:r>
    </w:p>
    <w:p w14:paraId="1524A490" w14:textId="77777777" w:rsidR="00E44CC7" w:rsidRDefault="00C03D0B" w:rsidP="00E44CC7">
      <w:pPr>
        <w:pStyle w:val="Texto"/>
        <w:spacing w:after="120"/>
        <w:rPr>
          <w:szCs w:val="18"/>
        </w:rPr>
      </w:pPr>
      <w:r w:rsidRPr="00E71B93">
        <w:rPr>
          <w:szCs w:val="18"/>
        </w:rPr>
        <w:t xml:space="preserve"> </w:t>
      </w:r>
    </w:p>
    <w:p w14:paraId="22D839BB" w14:textId="3C196D71" w:rsidR="00C03D0B" w:rsidRPr="00E44CC7" w:rsidRDefault="00C03D0B" w:rsidP="00E44CC7">
      <w:pPr>
        <w:pStyle w:val="Texto"/>
        <w:numPr>
          <w:ilvl w:val="0"/>
          <w:numId w:val="1"/>
        </w:numPr>
        <w:spacing w:after="120"/>
        <w:rPr>
          <w:szCs w:val="18"/>
        </w:rPr>
      </w:pPr>
      <w:r w:rsidRPr="00E71B93">
        <w:rPr>
          <w:b/>
          <w:szCs w:val="18"/>
        </w:rPr>
        <w:t>Partes Relacionadas</w:t>
      </w:r>
    </w:p>
    <w:p w14:paraId="2BD9902F" w14:textId="79245779" w:rsidR="007E6D47" w:rsidRPr="00E71B93" w:rsidRDefault="00C03D0B" w:rsidP="00FB71EA">
      <w:pPr>
        <w:pStyle w:val="Texto"/>
        <w:spacing w:after="120"/>
        <w:rPr>
          <w:szCs w:val="18"/>
        </w:rPr>
      </w:pPr>
      <w:r w:rsidRPr="00E71B93">
        <w:rPr>
          <w:szCs w:val="18"/>
        </w:rPr>
        <w:t>En el Instituto Tecnologico Superior de Abasolo no existen partes relacionadas que pudieran ejercer influencia significativa sobre la toma de decisiones financieras y operativas.</w:t>
      </w:r>
    </w:p>
    <w:p w14:paraId="67CEE496" w14:textId="77777777" w:rsidR="007637DB" w:rsidRPr="00E71B93" w:rsidRDefault="007637DB" w:rsidP="00C03D0B">
      <w:pPr>
        <w:pStyle w:val="Texto"/>
        <w:spacing w:after="120"/>
        <w:rPr>
          <w:szCs w:val="18"/>
        </w:rPr>
      </w:pPr>
    </w:p>
    <w:p w14:paraId="0D481501" w14:textId="0BDBEA0D" w:rsidR="00C03D0B" w:rsidRPr="00E71B93" w:rsidRDefault="00C03D0B" w:rsidP="00E44CC7">
      <w:pPr>
        <w:pStyle w:val="Texto"/>
        <w:numPr>
          <w:ilvl w:val="0"/>
          <w:numId w:val="1"/>
        </w:numPr>
        <w:spacing w:after="120"/>
        <w:rPr>
          <w:b/>
          <w:szCs w:val="18"/>
        </w:rPr>
      </w:pPr>
      <w:r w:rsidRPr="00E71B93">
        <w:rPr>
          <w:b/>
          <w:szCs w:val="18"/>
        </w:rPr>
        <w:t>Responsabilidad Sobre la Presentación Razonable de la Información Contable</w:t>
      </w:r>
    </w:p>
    <w:p w14:paraId="1595C3BB" w14:textId="77777777" w:rsidR="007637DB" w:rsidRPr="00E71B93" w:rsidRDefault="007637DB" w:rsidP="00C03D0B">
      <w:pPr>
        <w:pStyle w:val="Texto"/>
        <w:spacing w:after="120"/>
        <w:rPr>
          <w:b/>
          <w:szCs w:val="18"/>
        </w:rPr>
      </w:pPr>
    </w:p>
    <w:p w14:paraId="215A7EBD" w14:textId="77777777" w:rsidR="00C03D0B" w:rsidRPr="00E71B93" w:rsidRDefault="00C03D0B" w:rsidP="00C03D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>“Bajo protesta de decir verdad declaramos que los Estados Financieros y sus Notas son razonablemente correctos y responsabilidad del emisor.”</w:t>
      </w:r>
    </w:p>
    <w:p w14:paraId="27BCD50E" w14:textId="2D8287A5" w:rsidR="00C03D0B" w:rsidRPr="00E71B93" w:rsidRDefault="00C03D0B" w:rsidP="00C03D0B">
      <w:pPr>
        <w:pStyle w:val="Texto"/>
        <w:spacing w:after="120"/>
        <w:ind w:firstLine="0"/>
        <w:rPr>
          <w:szCs w:val="18"/>
        </w:rPr>
      </w:pPr>
    </w:p>
    <w:p w14:paraId="039A8CF4" w14:textId="77777777" w:rsidR="007637DB" w:rsidRPr="00E71B93" w:rsidRDefault="007637DB" w:rsidP="00C03D0B">
      <w:pPr>
        <w:pStyle w:val="Texto"/>
        <w:spacing w:after="120"/>
        <w:ind w:firstLine="0"/>
        <w:rPr>
          <w:szCs w:val="18"/>
        </w:rPr>
      </w:pPr>
    </w:p>
    <w:p w14:paraId="12463D00" w14:textId="58AE7B39" w:rsidR="00C03D0B" w:rsidRDefault="00C03D0B" w:rsidP="00C03D0B">
      <w:pPr>
        <w:pStyle w:val="Texto"/>
        <w:spacing w:after="120"/>
        <w:ind w:firstLine="0"/>
        <w:rPr>
          <w:szCs w:val="18"/>
        </w:rPr>
      </w:pPr>
      <w:r w:rsidRPr="00E71B93">
        <w:rPr>
          <w:szCs w:val="18"/>
        </w:rPr>
        <w:t xml:space="preserve"> Lo anterior, no será aplicable para la información contable consolidada.</w:t>
      </w:r>
    </w:p>
    <w:p w14:paraId="38BA1E69" w14:textId="572D80C7" w:rsidR="00E44CC7" w:rsidRDefault="00E44CC7" w:rsidP="00C03D0B">
      <w:pPr>
        <w:pStyle w:val="Texto"/>
        <w:spacing w:after="120"/>
        <w:ind w:firstLine="0"/>
        <w:rPr>
          <w:szCs w:val="18"/>
        </w:rPr>
      </w:pPr>
    </w:p>
    <w:p w14:paraId="07B23BF2" w14:textId="5BB26ABC" w:rsidR="00E44CC7" w:rsidRDefault="00E44CC7" w:rsidP="00C03D0B">
      <w:pPr>
        <w:pStyle w:val="Texto"/>
        <w:spacing w:after="120"/>
        <w:ind w:firstLine="0"/>
        <w:rPr>
          <w:szCs w:val="18"/>
        </w:rPr>
      </w:pPr>
    </w:p>
    <w:p w14:paraId="66B5947F" w14:textId="5F0EC30C" w:rsidR="00E44CC7" w:rsidRDefault="00E44CC7" w:rsidP="00C03D0B">
      <w:pPr>
        <w:pStyle w:val="Texto"/>
        <w:spacing w:after="120"/>
        <w:ind w:firstLine="0"/>
        <w:rPr>
          <w:szCs w:val="18"/>
        </w:rPr>
      </w:pPr>
    </w:p>
    <w:p w14:paraId="545D8750" w14:textId="77777777" w:rsidR="00E44CC7" w:rsidRPr="00E71B93" w:rsidRDefault="00E44CC7" w:rsidP="00C03D0B">
      <w:pPr>
        <w:pStyle w:val="Texto"/>
        <w:spacing w:after="120"/>
        <w:ind w:firstLine="0"/>
        <w:rPr>
          <w:szCs w:val="18"/>
        </w:rPr>
      </w:pPr>
    </w:p>
    <w:p w14:paraId="48790345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57F4FFF" w14:textId="77777777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02CD2FC" w14:textId="77777777" w:rsidR="00C01D16" w:rsidRPr="00E71B93" w:rsidRDefault="00C01D16" w:rsidP="00C747D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2A6F639" w14:textId="6949D5E3" w:rsidR="00C747DB" w:rsidRPr="00E71B93" w:rsidRDefault="00C747DB" w:rsidP="00C747D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1B93">
        <w:rPr>
          <w:rFonts w:ascii="Arial" w:hAnsi="Arial" w:cs="Arial"/>
          <w:sz w:val="18"/>
          <w:szCs w:val="18"/>
        </w:rPr>
        <w:t xml:space="preserve"> _____________</w:t>
      </w:r>
      <w:r w:rsidR="00DD34B1" w:rsidRPr="00E71B93">
        <w:rPr>
          <w:rFonts w:ascii="Arial" w:hAnsi="Arial" w:cs="Arial"/>
          <w:sz w:val="18"/>
          <w:szCs w:val="18"/>
        </w:rPr>
        <w:t>_________</w:t>
      </w:r>
      <w:r w:rsidRPr="00E71B93">
        <w:rPr>
          <w:rFonts w:ascii="Arial" w:hAnsi="Arial" w:cs="Arial"/>
          <w:sz w:val="18"/>
          <w:szCs w:val="18"/>
        </w:rPr>
        <w:t>_____________________</w:t>
      </w:r>
      <w:r w:rsidR="00DD34B1" w:rsidRPr="00E71B93">
        <w:rPr>
          <w:rFonts w:ascii="Arial" w:hAnsi="Arial" w:cs="Arial"/>
          <w:sz w:val="18"/>
          <w:szCs w:val="18"/>
        </w:rPr>
        <w:t xml:space="preserve">____________             </w:t>
      </w:r>
      <w:r w:rsidR="00433A95" w:rsidRPr="00E71B93">
        <w:rPr>
          <w:rFonts w:ascii="Arial" w:hAnsi="Arial" w:cs="Arial"/>
          <w:sz w:val="18"/>
          <w:szCs w:val="18"/>
        </w:rPr>
        <w:t xml:space="preserve">                   </w:t>
      </w:r>
      <w:r w:rsidR="00DD34B1" w:rsidRPr="00E71B93">
        <w:rPr>
          <w:rFonts w:ascii="Arial" w:hAnsi="Arial" w:cs="Arial"/>
          <w:sz w:val="18"/>
          <w:szCs w:val="18"/>
        </w:rPr>
        <w:t xml:space="preserve">  </w:t>
      </w:r>
      <w:r w:rsidRPr="00E71B93">
        <w:rPr>
          <w:rFonts w:ascii="Arial" w:hAnsi="Arial" w:cs="Arial"/>
          <w:sz w:val="18"/>
          <w:szCs w:val="18"/>
        </w:rPr>
        <w:t>________</w:t>
      </w:r>
      <w:r w:rsidR="00C01D16" w:rsidRPr="00E71B93">
        <w:rPr>
          <w:rFonts w:ascii="Arial" w:hAnsi="Arial" w:cs="Arial"/>
          <w:sz w:val="18"/>
          <w:szCs w:val="18"/>
        </w:rPr>
        <w:t>______</w:t>
      </w:r>
      <w:r w:rsidR="00DD34B1" w:rsidRPr="00E71B93">
        <w:rPr>
          <w:rFonts w:ascii="Arial" w:hAnsi="Arial" w:cs="Arial"/>
          <w:sz w:val="18"/>
          <w:szCs w:val="18"/>
        </w:rPr>
        <w:t>______</w:t>
      </w:r>
      <w:r w:rsidR="00C01D16" w:rsidRPr="00E71B93">
        <w:rPr>
          <w:rFonts w:ascii="Arial" w:hAnsi="Arial" w:cs="Arial"/>
          <w:sz w:val="18"/>
          <w:szCs w:val="18"/>
        </w:rPr>
        <w:t>___</w:t>
      </w:r>
      <w:r w:rsidRPr="00E71B93">
        <w:rPr>
          <w:rFonts w:ascii="Arial" w:hAnsi="Arial" w:cs="Arial"/>
          <w:sz w:val="18"/>
          <w:szCs w:val="18"/>
        </w:rPr>
        <w:t>____</w:t>
      </w:r>
      <w:r w:rsidR="00C01D16" w:rsidRPr="00E71B93">
        <w:rPr>
          <w:rFonts w:ascii="Arial" w:hAnsi="Arial" w:cs="Arial"/>
          <w:sz w:val="18"/>
          <w:szCs w:val="18"/>
        </w:rPr>
        <w:t>_______________</w:t>
      </w:r>
    </w:p>
    <w:p w14:paraId="131951C9" w14:textId="431F82E2" w:rsidR="00A95E29" w:rsidRPr="00E71B93" w:rsidRDefault="00C747DB" w:rsidP="00DD34B1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  <w:r w:rsidRPr="00E71B93">
        <w:rPr>
          <w:rFonts w:ascii="Arial" w:hAnsi="Arial" w:cs="Arial"/>
          <w:sz w:val="18"/>
          <w:szCs w:val="18"/>
        </w:rPr>
        <w:t xml:space="preserve"> </w:t>
      </w:r>
      <w:r w:rsidR="00BD0DFD" w:rsidRPr="00E71B93">
        <w:rPr>
          <w:rFonts w:ascii="Arial" w:hAnsi="Arial" w:cs="Arial"/>
          <w:sz w:val="18"/>
          <w:szCs w:val="18"/>
        </w:rPr>
        <w:t xml:space="preserve">      </w:t>
      </w:r>
      <w:r w:rsidR="00C01D16" w:rsidRPr="00E71B93">
        <w:rPr>
          <w:rFonts w:ascii="Arial" w:hAnsi="Arial" w:cs="Arial"/>
          <w:sz w:val="18"/>
          <w:szCs w:val="18"/>
        </w:rPr>
        <w:t xml:space="preserve">   </w:t>
      </w:r>
      <w:r w:rsidR="00DD34B1" w:rsidRPr="00E71B93">
        <w:rPr>
          <w:rFonts w:ascii="Arial" w:hAnsi="Arial" w:cs="Arial"/>
          <w:sz w:val="18"/>
          <w:szCs w:val="18"/>
        </w:rPr>
        <w:t xml:space="preserve">               </w:t>
      </w:r>
      <w:r w:rsidR="00C01D16" w:rsidRPr="00E71B93">
        <w:rPr>
          <w:rFonts w:ascii="Arial" w:hAnsi="Arial" w:cs="Arial"/>
          <w:sz w:val="18"/>
          <w:szCs w:val="18"/>
        </w:rPr>
        <w:t xml:space="preserve"> </w:t>
      </w:r>
      <w:r w:rsidR="00A95E29" w:rsidRPr="00E71B93">
        <w:rPr>
          <w:rFonts w:ascii="Arial" w:hAnsi="Arial" w:cs="Arial"/>
          <w:sz w:val="18"/>
          <w:szCs w:val="18"/>
        </w:rPr>
        <w:t xml:space="preserve">        </w:t>
      </w:r>
      <w:r w:rsidR="00921612" w:rsidRPr="00E71B93">
        <w:rPr>
          <w:rFonts w:ascii="Arial" w:hAnsi="Arial" w:cs="Arial"/>
          <w:sz w:val="18"/>
          <w:szCs w:val="18"/>
        </w:rPr>
        <w:t>HUGO GARCÍA VARGAS</w:t>
      </w:r>
      <w:r w:rsidR="00DD34B1" w:rsidRPr="00E71B93">
        <w:rPr>
          <w:rFonts w:ascii="Arial" w:hAnsi="Arial" w:cs="Arial"/>
          <w:sz w:val="18"/>
          <w:szCs w:val="18"/>
          <w:lang w:val="es-ES"/>
        </w:rPr>
        <w:t xml:space="preserve">                                                          </w:t>
      </w:r>
      <w:r w:rsidR="00921612" w:rsidRPr="00E71B93">
        <w:rPr>
          <w:rFonts w:ascii="Arial" w:hAnsi="Arial" w:cs="Arial"/>
          <w:sz w:val="18"/>
          <w:szCs w:val="18"/>
          <w:lang w:val="es-ES"/>
        </w:rPr>
        <w:t xml:space="preserve">               </w:t>
      </w:r>
      <w:r w:rsidR="00DD34B1" w:rsidRPr="00E71B93">
        <w:rPr>
          <w:rFonts w:ascii="Arial" w:hAnsi="Arial" w:cs="Arial"/>
          <w:sz w:val="18"/>
          <w:szCs w:val="18"/>
          <w:lang w:val="es-ES"/>
        </w:rPr>
        <w:t xml:space="preserve">    </w:t>
      </w:r>
      <w:r w:rsidR="00DD34B1" w:rsidRPr="00E71B93">
        <w:rPr>
          <w:rFonts w:ascii="Arial" w:hAnsi="Arial" w:cs="Arial"/>
          <w:sz w:val="18"/>
          <w:szCs w:val="18"/>
        </w:rPr>
        <w:t>J. GUADALUPE MÁRQUEZ GONZÁLEZ</w:t>
      </w:r>
    </w:p>
    <w:p w14:paraId="5E389687" w14:textId="5DD13CA2" w:rsidR="00DD34B1" w:rsidRPr="00E71B93" w:rsidRDefault="00A95E29" w:rsidP="00DD34B1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  <w:r w:rsidRPr="00E71B93">
        <w:rPr>
          <w:rFonts w:ascii="Arial" w:hAnsi="Arial" w:cs="Arial"/>
          <w:sz w:val="18"/>
          <w:szCs w:val="18"/>
          <w:lang w:val="es-ES"/>
        </w:rPr>
        <w:t xml:space="preserve">    ENCARGADO DEL DESPACHO DE LA </w:t>
      </w:r>
      <w:r w:rsidR="00921612" w:rsidRPr="00E71B93">
        <w:rPr>
          <w:rFonts w:ascii="Arial" w:hAnsi="Arial" w:cs="Arial"/>
          <w:sz w:val="18"/>
          <w:szCs w:val="18"/>
          <w:lang w:val="es-ES"/>
        </w:rPr>
        <w:t>DIREC</w:t>
      </w:r>
      <w:r w:rsidRPr="00E71B93">
        <w:rPr>
          <w:rFonts w:ascii="Arial" w:hAnsi="Arial" w:cs="Arial"/>
          <w:sz w:val="18"/>
          <w:szCs w:val="18"/>
          <w:lang w:val="es-ES"/>
        </w:rPr>
        <w:t>CIÓN</w:t>
      </w:r>
      <w:r w:rsidR="00921612" w:rsidRPr="00E71B93">
        <w:rPr>
          <w:rFonts w:ascii="Arial" w:hAnsi="Arial" w:cs="Arial"/>
          <w:sz w:val="18"/>
          <w:szCs w:val="18"/>
          <w:lang w:val="es-ES"/>
        </w:rPr>
        <w:t xml:space="preserve"> GENERAL</w:t>
      </w:r>
      <w:r w:rsidR="00DD34B1" w:rsidRPr="00E71B93">
        <w:rPr>
          <w:rFonts w:ascii="Arial" w:hAnsi="Arial" w:cs="Arial"/>
          <w:sz w:val="18"/>
          <w:szCs w:val="18"/>
          <w:lang w:val="es-ES"/>
        </w:rPr>
        <w:t xml:space="preserve">      </w:t>
      </w:r>
      <w:r w:rsidR="00921612" w:rsidRPr="00E71B93">
        <w:rPr>
          <w:rFonts w:ascii="Arial" w:hAnsi="Arial" w:cs="Arial"/>
          <w:sz w:val="18"/>
          <w:szCs w:val="18"/>
          <w:lang w:val="es-ES"/>
        </w:rPr>
        <w:t xml:space="preserve">                              </w:t>
      </w:r>
      <w:r w:rsidR="00DD34B1" w:rsidRPr="00E71B93">
        <w:rPr>
          <w:rFonts w:ascii="Arial" w:hAnsi="Arial" w:cs="Arial"/>
          <w:sz w:val="18"/>
          <w:szCs w:val="18"/>
        </w:rPr>
        <w:t>SUBDIRECCIÓN DE ADMINISTRACIÓN Y FINANZAS</w:t>
      </w:r>
    </w:p>
    <w:p w14:paraId="1FD420AF" w14:textId="4AB4C548" w:rsidR="00846BFC" w:rsidRPr="00E71B93" w:rsidRDefault="00BD0DFD" w:rsidP="00022CBB">
      <w:pPr>
        <w:ind w:left="708"/>
        <w:jc w:val="both"/>
        <w:rPr>
          <w:rFonts w:ascii="Arial" w:hAnsi="Arial" w:cs="Arial"/>
          <w:sz w:val="18"/>
          <w:szCs w:val="18"/>
          <w:lang w:val="es-ES"/>
        </w:rPr>
      </w:pPr>
      <w:r w:rsidRPr="00E71B93">
        <w:rPr>
          <w:rFonts w:ascii="Arial" w:hAnsi="Arial" w:cs="Arial"/>
          <w:sz w:val="18"/>
          <w:szCs w:val="18"/>
        </w:rPr>
        <w:t xml:space="preserve"> </w:t>
      </w:r>
      <w:r w:rsidR="00C01D16" w:rsidRPr="00E71B93">
        <w:rPr>
          <w:rFonts w:ascii="Arial" w:hAnsi="Arial" w:cs="Arial"/>
          <w:sz w:val="18"/>
          <w:szCs w:val="18"/>
        </w:rPr>
        <w:t xml:space="preserve"> </w:t>
      </w:r>
      <w:r w:rsidRPr="00E71B93">
        <w:rPr>
          <w:rFonts w:ascii="Arial" w:hAnsi="Arial" w:cs="Arial"/>
          <w:sz w:val="18"/>
          <w:szCs w:val="18"/>
        </w:rPr>
        <w:t xml:space="preserve"> </w:t>
      </w:r>
    </w:p>
    <w:sectPr w:rsidR="00846BFC" w:rsidRPr="00E71B93" w:rsidSect="00FB71EA">
      <w:headerReference w:type="default" r:id="rId9"/>
      <w:footerReference w:type="default" r:id="rId10"/>
      <w:pgSz w:w="15840" w:h="12240" w:orient="landscape"/>
      <w:pgMar w:top="1134" w:right="1418" w:bottom="1134" w:left="1418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C098" w14:textId="77777777" w:rsidR="0070761D" w:rsidRDefault="0070761D" w:rsidP="00C747DB">
      <w:pPr>
        <w:spacing w:after="0" w:line="240" w:lineRule="auto"/>
      </w:pPr>
      <w:r>
        <w:separator/>
      </w:r>
    </w:p>
  </w:endnote>
  <w:endnote w:type="continuationSeparator" w:id="0">
    <w:p w14:paraId="34CE8B38" w14:textId="77777777" w:rsidR="0070761D" w:rsidRDefault="0070761D" w:rsidP="00C7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B78E" w14:textId="77777777" w:rsidR="00C747DB" w:rsidRPr="00C747DB" w:rsidRDefault="00C747DB">
    <w:pPr>
      <w:pStyle w:val="Piedepgina"/>
      <w:pBdr>
        <w:top w:val="thinThickSmallGap" w:sz="24" w:space="1" w:color="823B0B" w:themeColor="accent2" w:themeShade="7F"/>
      </w:pBdr>
      <w:rPr>
        <w:rFonts w:asciiTheme="majorHAnsi" w:hAnsiTheme="majorHAnsi"/>
        <w:color w:val="2E74B5" w:themeColor="accent1" w:themeShade="BF"/>
      </w:rPr>
    </w:pPr>
    <w:r w:rsidRPr="00C747DB">
      <w:rPr>
        <w:rFonts w:asciiTheme="majorHAnsi" w:hAnsiTheme="majorHAnsi"/>
        <w:color w:val="2E74B5" w:themeColor="accent1" w:themeShade="BF"/>
      </w:rPr>
      <w:t>Notas de Gestión Administrativa</w:t>
    </w:r>
    <w:r w:rsidRPr="00C747DB">
      <w:rPr>
        <w:rFonts w:asciiTheme="majorHAnsi" w:hAnsiTheme="majorHAnsi"/>
        <w:color w:val="2E74B5" w:themeColor="accent1" w:themeShade="BF"/>
      </w:rPr>
      <w:ptab w:relativeTo="margin" w:alignment="right" w:leader="none"/>
    </w:r>
  </w:p>
  <w:p w14:paraId="3B9E7B3B" w14:textId="77777777" w:rsidR="00C747DB" w:rsidRPr="00C747DB" w:rsidRDefault="00C747DB">
    <w:pPr>
      <w:pStyle w:val="Piedepgin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6035" w14:textId="77777777" w:rsidR="0070761D" w:rsidRDefault="0070761D" w:rsidP="00C747DB">
      <w:pPr>
        <w:spacing w:after="0" w:line="240" w:lineRule="auto"/>
      </w:pPr>
      <w:r>
        <w:separator/>
      </w:r>
    </w:p>
  </w:footnote>
  <w:footnote w:type="continuationSeparator" w:id="0">
    <w:p w14:paraId="6D7772B4" w14:textId="77777777" w:rsidR="0070761D" w:rsidRDefault="0070761D" w:rsidP="00C7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A051" w14:textId="3770E945" w:rsidR="00A95E29" w:rsidRDefault="00A95E29" w:rsidP="00A95E29">
    <w:pPr>
      <w:pStyle w:val="Encabezado"/>
      <w:jc w:val="center"/>
      <w:rPr>
        <w:rFonts w:ascii="Arial" w:hAnsi="Arial"/>
        <w:sz w:val="18"/>
      </w:rPr>
    </w:pPr>
    <w:r w:rsidRPr="00483C86">
      <w:rPr>
        <w:rFonts w:ascii="Arial" w:hAnsi="Arial"/>
        <w:sz w:val="18"/>
      </w:rPr>
      <w:t>INSTITUTO TECNOLOGICO SUPERIOR DE ABASOLO</w:t>
    </w:r>
  </w:p>
  <w:p w14:paraId="38B3B7AB" w14:textId="77777777" w:rsidR="00A95E29" w:rsidRPr="00E44CC7" w:rsidRDefault="00A95E29" w:rsidP="00A95E29">
    <w:pPr>
      <w:spacing w:after="0"/>
      <w:jc w:val="center"/>
      <w:rPr>
        <w:rFonts w:ascii="Arial" w:hAnsi="Arial" w:cs="Arial"/>
        <w:b/>
        <w:color w:val="0000FF"/>
        <w:sz w:val="18"/>
        <w:szCs w:val="18"/>
        <w:u w:val="single"/>
      </w:rPr>
    </w:pPr>
    <w:r w:rsidRPr="00E44CC7">
      <w:rPr>
        <w:rFonts w:ascii="Arial" w:hAnsi="Arial" w:cs="Arial"/>
        <w:b/>
        <w:color w:val="0000FF"/>
        <w:sz w:val="18"/>
        <w:szCs w:val="18"/>
        <w:u w:val="single"/>
      </w:rPr>
      <w:t>NOTAS DE GESTIÓN ADMINISTRATIVA</w:t>
    </w:r>
  </w:p>
  <w:p w14:paraId="7C2FE02B" w14:textId="6A2D0E18" w:rsidR="00A95E29" w:rsidRPr="00A95E29" w:rsidRDefault="00A95E29" w:rsidP="00A95E29">
    <w:pPr>
      <w:spacing w:after="0"/>
      <w:jc w:val="center"/>
      <w:rPr>
        <w:rFonts w:ascii="Arial" w:hAnsi="Arial" w:cs="Arial"/>
        <w:b/>
        <w:sz w:val="18"/>
        <w:szCs w:val="18"/>
      </w:rPr>
    </w:pPr>
    <w:r w:rsidRPr="00483C86">
      <w:rPr>
        <w:rFonts w:ascii="Arial" w:hAnsi="Arial"/>
        <w:sz w:val="18"/>
      </w:rPr>
      <w:t xml:space="preserve"> AL </w:t>
    </w:r>
    <w:r w:rsidR="00BA1470">
      <w:rPr>
        <w:rFonts w:ascii="Arial" w:hAnsi="Arial"/>
        <w:sz w:val="18"/>
      </w:rPr>
      <w:t>31</w:t>
    </w:r>
    <w:r w:rsidRPr="00483C86">
      <w:rPr>
        <w:rFonts w:ascii="Arial" w:hAnsi="Arial"/>
        <w:sz w:val="18"/>
      </w:rPr>
      <w:t xml:space="preserve"> DE</w:t>
    </w:r>
    <w:r>
      <w:rPr>
        <w:rFonts w:ascii="Arial" w:hAnsi="Arial"/>
        <w:sz w:val="18"/>
      </w:rPr>
      <w:t xml:space="preserve"> </w:t>
    </w:r>
    <w:r w:rsidR="00BA1470">
      <w:rPr>
        <w:rFonts w:ascii="Arial" w:hAnsi="Arial"/>
        <w:sz w:val="18"/>
      </w:rPr>
      <w:t>MARZO</w:t>
    </w:r>
    <w:r>
      <w:rPr>
        <w:rFonts w:ascii="Arial" w:hAnsi="Arial"/>
        <w:sz w:val="18"/>
      </w:rPr>
      <w:t xml:space="preserve"> </w:t>
    </w:r>
    <w:r w:rsidRPr="00483C86">
      <w:rPr>
        <w:rFonts w:ascii="Arial" w:hAnsi="Arial"/>
        <w:sz w:val="18"/>
      </w:rPr>
      <w:t>DE 202</w:t>
    </w:r>
    <w:r w:rsidR="00F478E3">
      <w:rPr>
        <w:rFonts w:ascii="Arial" w:hAnsi="Arial"/>
        <w:sz w:val="18"/>
      </w:rPr>
      <w:t>4</w:t>
    </w:r>
  </w:p>
  <w:p w14:paraId="788B7E4A" w14:textId="650B43AB" w:rsidR="001E07AB" w:rsidRPr="001E07AB" w:rsidRDefault="0070761D">
    <w:pPr>
      <w:pStyle w:val="Encabezado"/>
      <w:rPr>
        <w:b/>
        <w:color w:val="8496B0" w:themeColor="text2" w:themeTint="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F4E"/>
    <w:multiLevelType w:val="hybridMultilevel"/>
    <w:tmpl w:val="D7AA438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D4953"/>
    <w:multiLevelType w:val="multilevel"/>
    <w:tmpl w:val="8ABC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036CC"/>
    <w:multiLevelType w:val="hybridMultilevel"/>
    <w:tmpl w:val="CE5C5B4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449AC"/>
    <w:multiLevelType w:val="hybridMultilevel"/>
    <w:tmpl w:val="3A9E36B2"/>
    <w:lvl w:ilvl="0" w:tplc="D0F294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001DC"/>
    <w:multiLevelType w:val="hybridMultilevel"/>
    <w:tmpl w:val="DB8418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1768"/>
    <w:multiLevelType w:val="hybridMultilevel"/>
    <w:tmpl w:val="71FC3B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21B27"/>
    <w:multiLevelType w:val="hybridMultilevel"/>
    <w:tmpl w:val="7DFA64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B09C4"/>
    <w:multiLevelType w:val="hybridMultilevel"/>
    <w:tmpl w:val="2AB8428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E475E"/>
    <w:multiLevelType w:val="hybridMultilevel"/>
    <w:tmpl w:val="4238E7C6"/>
    <w:lvl w:ilvl="0" w:tplc="27D4547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01418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7CB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4B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C6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05F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32F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625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ECD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B499B"/>
    <w:multiLevelType w:val="multilevel"/>
    <w:tmpl w:val="ED60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E594B"/>
    <w:multiLevelType w:val="hybridMultilevel"/>
    <w:tmpl w:val="4958243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34CE9"/>
    <w:multiLevelType w:val="hybridMultilevel"/>
    <w:tmpl w:val="D12074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C36C8"/>
    <w:multiLevelType w:val="hybridMultilevel"/>
    <w:tmpl w:val="49F0D9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B6448"/>
    <w:multiLevelType w:val="hybridMultilevel"/>
    <w:tmpl w:val="1C7C4174"/>
    <w:lvl w:ilvl="0" w:tplc="080A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C229F"/>
    <w:multiLevelType w:val="multilevel"/>
    <w:tmpl w:val="CCEE4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A52717"/>
    <w:multiLevelType w:val="hybridMultilevel"/>
    <w:tmpl w:val="F7E23D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A5C6B"/>
    <w:multiLevelType w:val="hybridMultilevel"/>
    <w:tmpl w:val="B58C6B6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2"/>
  </w:num>
  <w:num w:numId="5">
    <w:abstractNumId w:val="10"/>
  </w:num>
  <w:num w:numId="6">
    <w:abstractNumId w:val="11"/>
  </w:num>
  <w:num w:numId="7">
    <w:abstractNumId w:val="12"/>
  </w:num>
  <w:num w:numId="8">
    <w:abstractNumId w:val="7"/>
  </w:num>
  <w:num w:numId="9">
    <w:abstractNumId w:val="5"/>
  </w:num>
  <w:num w:numId="10">
    <w:abstractNumId w:val="15"/>
  </w:num>
  <w:num w:numId="11">
    <w:abstractNumId w:val="6"/>
  </w:num>
  <w:num w:numId="12">
    <w:abstractNumId w:val="4"/>
  </w:num>
  <w:num w:numId="13">
    <w:abstractNumId w:val="1"/>
    <w:lvlOverride w:ilvl="0">
      <w:lvl w:ilvl="0">
        <w:numFmt w:val="lowerLetter"/>
        <w:lvlText w:val="%1."/>
        <w:lvlJc w:val="left"/>
      </w:lvl>
    </w:lvlOverride>
  </w:num>
  <w:num w:numId="14">
    <w:abstractNumId w:val="14"/>
    <w:lvlOverride w:ilvl="0">
      <w:lvl w:ilvl="0">
        <w:numFmt w:val="upperRoman"/>
        <w:lvlText w:val="%1."/>
        <w:lvlJc w:val="right"/>
      </w:lvl>
    </w:lvlOverride>
  </w:num>
  <w:num w:numId="15">
    <w:abstractNumId w:val="9"/>
    <w:lvlOverride w:ilvl="0">
      <w:lvl w:ilvl="0">
        <w:numFmt w:val="lowerLetter"/>
        <w:lvlText w:val="%1."/>
        <w:lvlJc w:val="left"/>
      </w:lvl>
    </w:lvlOverride>
  </w:num>
  <w:num w:numId="16">
    <w:abstractNumId w:val="8"/>
  </w:num>
  <w:num w:numId="17">
    <w:abstractNumId w:val="8"/>
    <w:lvlOverride w:ilvl="0">
      <w:lvl w:ilvl="0" w:tplc="27D45478">
        <w:numFmt w:val="upperRoman"/>
        <w:lvlText w:val="%1."/>
        <w:lvlJc w:val="right"/>
      </w:lvl>
    </w:lvlOverride>
  </w:num>
  <w:num w:numId="18">
    <w:abstractNumId w:val="8"/>
    <w:lvlOverride w:ilvl="0">
      <w:lvl w:ilvl="0" w:tplc="27D45478">
        <w:numFmt w:val="upperRoman"/>
        <w:lvlText w:val="%1."/>
        <w:lvlJc w:val="right"/>
      </w:lvl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DB"/>
    <w:rsid w:val="00002472"/>
    <w:rsid w:val="00022CBB"/>
    <w:rsid w:val="00027B43"/>
    <w:rsid w:val="000444EA"/>
    <w:rsid w:val="00047FED"/>
    <w:rsid w:val="000523B2"/>
    <w:rsid w:val="00062152"/>
    <w:rsid w:val="00073192"/>
    <w:rsid w:val="0007759A"/>
    <w:rsid w:val="000802E4"/>
    <w:rsid w:val="0009600C"/>
    <w:rsid w:val="00096222"/>
    <w:rsid w:val="000A3BF6"/>
    <w:rsid w:val="000B7550"/>
    <w:rsid w:val="000D1923"/>
    <w:rsid w:val="000E3901"/>
    <w:rsid w:val="000E5A57"/>
    <w:rsid w:val="00110E02"/>
    <w:rsid w:val="00111B4D"/>
    <w:rsid w:val="0012758A"/>
    <w:rsid w:val="00131547"/>
    <w:rsid w:val="00146232"/>
    <w:rsid w:val="00164F0B"/>
    <w:rsid w:val="00165CA8"/>
    <w:rsid w:val="001A6F9C"/>
    <w:rsid w:val="001B04E5"/>
    <w:rsid w:val="001B4ACC"/>
    <w:rsid w:val="001E26ED"/>
    <w:rsid w:val="001E6A3C"/>
    <w:rsid w:val="00203975"/>
    <w:rsid w:val="00204CB2"/>
    <w:rsid w:val="00205064"/>
    <w:rsid w:val="00261D43"/>
    <w:rsid w:val="002726D8"/>
    <w:rsid w:val="00274C25"/>
    <w:rsid w:val="00282009"/>
    <w:rsid w:val="00294A94"/>
    <w:rsid w:val="002A4EC7"/>
    <w:rsid w:val="002E3563"/>
    <w:rsid w:val="002E5B52"/>
    <w:rsid w:val="002F1123"/>
    <w:rsid w:val="0034578A"/>
    <w:rsid w:val="003560AE"/>
    <w:rsid w:val="003F0F8B"/>
    <w:rsid w:val="00402B3E"/>
    <w:rsid w:val="00404B6E"/>
    <w:rsid w:val="00431B8D"/>
    <w:rsid w:val="00433A95"/>
    <w:rsid w:val="00440C4A"/>
    <w:rsid w:val="00465372"/>
    <w:rsid w:val="0048778F"/>
    <w:rsid w:val="004A20FF"/>
    <w:rsid w:val="004C47C4"/>
    <w:rsid w:val="004F58DB"/>
    <w:rsid w:val="00531362"/>
    <w:rsid w:val="00560D80"/>
    <w:rsid w:val="005A72C9"/>
    <w:rsid w:val="005A7E89"/>
    <w:rsid w:val="005C019E"/>
    <w:rsid w:val="00622E69"/>
    <w:rsid w:val="00634CE0"/>
    <w:rsid w:val="006566B6"/>
    <w:rsid w:val="00682A1D"/>
    <w:rsid w:val="0068576F"/>
    <w:rsid w:val="00687929"/>
    <w:rsid w:val="006E394E"/>
    <w:rsid w:val="0070761D"/>
    <w:rsid w:val="00711C1E"/>
    <w:rsid w:val="00750E10"/>
    <w:rsid w:val="00761783"/>
    <w:rsid w:val="007637DB"/>
    <w:rsid w:val="00793778"/>
    <w:rsid w:val="0079687C"/>
    <w:rsid w:val="0079743A"/>
    <w:rsid w:val="007B450A"/>
    <w:rsid w:val="007C1A56"/>
    <w:rsid w:val="007E6D47"/>
    <w:rsid w:val="007F6452"/>
    <w:rsid w:val="00813898"/>
    <w:rsid w:val="00821235"/>
    <w:rsid w:val="00823964"/>
    <w:rsid w:val="008448BC"/>
    <w:rsid w:val="00846BFC"/>
    <w:rsid w:val="00896BA8"/>
    <w:rsid w:val="00897861"/>
    <w:rsid w:val="008A5A05"/>
    <w:rsid w:val="008C4776"/>
    <w:rsid w:val="008E6FC0"/>
    <w:rsid w:val="00911DF7"/>
    <w:rsid w:val="00921612"/>
    <w:rsid w:val="00937392"/>
    <w:rsid w:val="00982B98"/>
    <w:rsid w:val="009908F8"/>
    <w:rsid w:val="009965F5"/>
    <w:rsid w:val="009C3A90"/>
    <w:rsid w:val="00A066BE"/>
    <w:rsid w:val="00A332C1"/>
    <w:rsid w:val="00A36448"/>
    <w:rsid w:val="00A709F4"/>
    <w:rsid w:val="00A95E29"/>
    <w:rsid w:val="00AC358F"/>
    <w:rsid w:val="00AC6E37"/>
    <w:rsid w:val="00BA1470"/>
    <w:rsid w:val="00BA7F2E"/>
    <w:rsid w:val="00BB2D50"/>
    <w:rsid w:val="00BB2FD0"/>
    <w:rsid w:val="00BC59AF"/>
    <w:rsid w:val="00BD0DFD"/>
    <w:rsid w:val="00BF2585"/>
    <w:rsid w:val="00C01D16"/>
    <w:rsid w:val="00C03D0B"/>
    <w:rsid w:val="00C3274D"/>
    <w:rsid w:val="00C747DB"/>
    <w:rsid w:val="00CB196A"/>
    <w:rsid w:val="00CF2B50"/>
    <w:rsid w:val="00D81E63"/>
    <w:rsid w:val="00DA5B94"/>
    <w:rsid w:val="00DD34B1"/>
    <w:rsid w:val="00DD39A1"/>
    <w:rsid w:val="00DE1B16"/>
    <w:rsid w:val="00DE4430"/>
    <w:rsid w:val="00E04F10"/>
    <w:rsid w:val="00E44CC7"/>
    <w:rsid w:val="00E642D9"/>
    <w:rsid w:val="00E64BB4"/>
    <w:rsid w:val="00E71B93"/>
    <w:rsid w:val="00EA7DC0"/>
    <w:rsid w:val="00ED60A0"/>
    <w:rsid w:val="00EE28C0"/>
    <w:rsid w:val="00EE7D9E"/>
    <w:rsid w:val="00F1438D"/>
    <w:rsid w:val="00F478E3"/>
    <w:rsid w:val="00F47CC1"/>
    <w:rsid w:val="00F74D64"/>
    <w:rsid w:val="00F9178C"/>
    <w:rsid w:val="00F923E2"/>
    <w:rsid w:val="00F93BC9"/>
    <w:rsid w:val="00FB71EA"/>
    <w:rsid w:val="00FC52A6"/>
    <w:rsid w:val="00FE7368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D2E39"/>
  <w15:chartTrackingRefBased/>
  <w15:docId w15:val="{FB341811-D0B3-4CB5-8736-F98A0289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7DB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4C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F143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4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7DB"/>
  </w:style>
  <w:style w:type="paragraph" w:styleId="Piedepgina">
    <w:name w:val="footer"/>
    <w:basedOn w:val="Normal"/>
    <w:link w:val="PiedepginaCar"/>
    <w:uiPriority w:val="99"/>
    <w:unhideWhenUsed/>
    <w:rsid w:val="00C747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7DB"/>
  </w:style>
  <w:style w:type="paragraph" w:styleId="Prrafodelista">
    <w:name w:val="List Paragraph"/>
    <w:basedOn w:val="Normal"/>
    <w:uiPriority w:val="34"/>
    <w:qFormat/>
    <w:rsid w:val="00C747DB"/>
    <w:pPr>
      <w:ind w:left="720"/>
      <w:contextualSpacing/>
    </w:pPr>
  </w:style>
  <w:style w:type="character" w:customStyle="1" w:styleId="A0">
    <w:name w:val="A0"/>
    <w:uiPriority w:val="99"/>
    <w:rsid w:val="00C747DB"/>
    <w:rPr>
      <w:color w:val="221E1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3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8E6F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6FC0"/>
    <w:rPr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rsid w:val="00F1438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extoCar">
    <w:name w:val="Texto Car"/>
    <w:link w:val="Texto"/>
    <w:locked/>
    <w:rsid w:val="00C03D0B"/>
    <w:rPr>
      <w:rFonts w:ascii="Arial" w:hAnsi="Arial" w:cs="Arial"/>
      <w:sz w:val="18"/>
    </w:rPr>
  </w:style>
  <w:style w:type="paragraph" w:customStyle="1" w:styleId="Texto">
    <w:name w:val="Texto"/>
    <w:basedOn w:val="Normal"/>
    <w:link w:val="TextoCar"/>
    <w:qFormat/>
    <w:rsid w:val="00C03D0B"/>
    <w:pPr>
      <w:spacing w:after="101" w:line="216" w:lineRule="exact"/>
      <w:ind w:firstLine="288"/>
      <w:jc w:val="both"/>
    </w:pPr>
    <w:rPr>
      <w:rFonts w:ascii="Arial" w:hAnsi="Arial" w:cs="Arial"/>
      <w:sz w:val="18"/>
    </w:rPr>
  </w:style>
  <w:style w:type="character" w:customStyle="1" w:styleId="Ttulo2Car">
    <w:name w:val="Título 2 Car"/>
    <w:basedOn w:val="Fuentedeprrafopredeter"/>
    <w:link w:val="Ttulo2"/>
    <w:uiPriority w:val="9"/>
    <w:rsid w:val="00E44C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1E27-F743-4B88-A8AF-396A18FD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9</Pages>
  <Words>2427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 Jesús Morales Rojas</dc:creator>
  <cp:keywords/>
  <dc:description/>
  <cp:lastModifiedBy>Facturacion Tecnologico Abasolo</cp:lastModifiedBy>
  <cp:revision>68</cp:revision>
  <cp:lastPrinted>2024-03-15T18:36:00Z</cp:lastPrinted>
  <dcterms:created xsi:type="dcterms:W3CDTF">2016-08-11T21:08:00Z</dcterms:created>
  <dcterms:modified xsi:type="dcterms:W3CDTF">2024-04-24T17:43:00Z</dcterms:modified>
</cp:coreProperties>
</file>